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D432" w14:textId="77777777" w:rsidR="00A72E50" w:rsidRDefault="00A72E50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</w:p>
    <w:p w14:paraId="6B218A7C" w14:textId="77777777" w:rsidR="00A72E50" w:rsidRDefault="00A72E50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2A20B241" w14:textId="7683341A" w:rsidR="002C5F4A" w:rsidRPr="00C254DD" w:rsidRDefault="00CC2403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tr-TR"/>
        </w:rPr>
      </w:pP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Tarım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Orman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Bakanlığından: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</w:t>
      </w:r>
    </w:p>
    <w:p w14:paraId="7A154CE4" w14:textId="77777777" w:rsidR="00CC2403" w:rsidRDefault="00CC2403" w:rsidP="000D15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E7FF718" w14:textId="52EB3AED" w:rsidR="002C5F4A" w:rsidRPr="002C5F4A" w:rsidRDefault="002C5F4A" w:rsidP="002A3EB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GIDA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KODEKSİ</w:t>
      </w:r>
      <w:r w:rsidR="00197C7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GIDA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BELİRLİ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</w:t>
      </w:r>
      <w:r w:rsidR="00A7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MELERDE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DİĞER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6B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TEHLİKELİ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TÜREVLERİNİN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KULLANIMININ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KISITLANMASINA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DAİR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TEBLİĞ</w:t>
      </w:r>
    </w:p>
    <w:p w14:paraId="402E9D0C" w14:textId="4253B849" w:rsidR="00141D0A" w:rsidRDefault="00027612" w:rsidP="00141D0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(TEBLİĞ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NO: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3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2025/1</w:t>
      </w:r>
      <w:r w:rsidR="00A16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="0033081E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)</w:t>
      </w:r>
    </w:p>
    <w:p w14:paraId="4A11DDC8" w14:textId="2A762ADB" w:rsidR="00CC2403" w:rsidRDefault="00CC2403" w:rsidP="00141D0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239652E" w14:textId="3DAAE1BA" w:rsidR="002C5F4A" w:rsidRPr="00141D0A" w:rsidRDefault="00197C77" w:rsidP="00141D0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</w:t>
      </w:r>
      <w:r w:rsidR="002C5F4A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Amaç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Kapsam</w:t>
      </w:r>
    </w:p>
    <w:p w14:paraId="3C91A1F3" w14:textId="122FE7F6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4,4’-izopr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opilidendifenol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80-05-7)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birlikte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749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malzemelerdeki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içeriğine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gereklilikleri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belirlemektir.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309B1A39" w14:textId="7DA43611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kısıtlama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getirilen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grupları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şunlardır</w:t>
      </w:r>
      <w:r w:rsidR="00EA6D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2089998D" w14:textId="69334A1F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Yapıştırıcılar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2CFB5599" w14:textId="375506CC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Kauçuklar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10F9F35" w14:textId="54FF0086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İyon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Değiştirici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Reçineler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0F5B78D1" w14:textId="5A852043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Plastikler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336A51F" w14:textId="0D6B5A6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Baskı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Mürekkepleri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22695CC5" w14:textId="2B674466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Silikonlar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70C4E9EC" w14:textId="3B7E708E" w:rsidR="00ED6A75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Vernikler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aplamalar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C55E7CC" w14:textId="77777777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Dayanak</w:t>
      </w:r>
    </w:p>
    <w:p w14:paraId="0A2109C6" w14:textId="4FC539A2" w:rsidR="005300EE" w:rsidRDefault="002C5F4A" w:rsidP="00D202C5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2</w:t>
      </w:r>
      <w:r w:rsidR="00532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97C77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19/02/2020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31044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5/4/2018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30382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dayanılarak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00EE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hazırlanmıştır.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A5D7CCF" w14:textId="29D7639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Tanımlar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kısaltmalar</w:t>
      </w:r>
    </w:p>
    <w:p w14:paraId="5E5A945E" w14:textId="69BBBA16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25/12/2019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30989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7471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mükerrer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</w:t>
      </w:r>
      <w:r w:rsidR="007706BE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Tebliği’nin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tanımlar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geçerlidir</w:t>
      </w:r>
      <w:r w:rsidR="007C7A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0046968D" w14:textId="662F0646" w:rsidR="00441712" w:rsidRDefault="00DB24F5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geçen;</w:t>
      </w:r>
    </w:p>
    <w:p w14:paraId="0C932850" w14:textId="1C1846FA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hidroksifenil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fonksiyonel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grubunun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bağlayıcı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atom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tarafından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bağlanmasıyla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oluşan,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bağlayıcı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atoma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ilave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grupların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eklenebildiği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formunu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maddeyi,</w:t>
      </w:r>
    </w:p>
    <w:p w14:paraId="7438D87B" w14:textId="36DF120D" w:rsidR="006855A4" w:rsidRDefault="002C5F4A" w:rsidP="006855A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temsil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formunu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içermeyen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maddeyi,</w:t>
      </w:r>
    </w:p>
    <w:p w14:paraId="62146F96" w14:textId="6C1E6985" w:rsidR="006855A4" w:rsidRDefault="00FF4F1A" w:rsidP="006855A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A’yı,</w:t>
      </w:r>
    </w:p>
    <w:p w14:paraId="69648AB1" w14:textId="5E69DD3D" w:rsidR="00441712" w:rsidRDefault="00FF4F1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</w:t>
      </w:r>
      <w:r w:rsidR="002C5F4A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Müdürlük: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Kontrol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Müdürlüğünü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EA9D02C" w14:textId="2B2E860A" w:rsidR="00441712" w:rsidRDefault="00FF4F1A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FB2A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Tek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kullanımlık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ambalajlar</w:t>
      </w:r>
      <w:r w:rsidR="00B2650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dol</w:t>
      </w:r>
      <w:r w:rsidR="00B2650C">
        <w:rPr>
          <w:rFonts w:ascii="Times New Roman" w:hAnsi="Times New Roman" w:cs="Times New Roman"/>
          <w:color w:val="000000" w:themeColor="text1"/>
          <w:sz w:val="24"/>
          <w:szCs w:val="24"/>
        </w:rPr>
        <w:t>umu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gerçekleştirilen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kapatma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işlemini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kapsayan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ileri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değişiklikler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hariç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olmak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üzere,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nihai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malzemenin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tamamını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parçasını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oluşturmak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ileri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kimyasal,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biyolojik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fiziksel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değişikliğe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tabi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tutulması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amaçlanan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malzemeleri</w:t>
      </w:r>
      <w:r w:rsidR="002B5A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DEE2A41" w14:textId="0F8E67F7" w:rsidR="002F34F3" w:rsidRDefault="00FF4F1A" w:rsidP="002F34F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FB2A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nihai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madde: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fazla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oluşan;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ambalajlar</w:t>
      </w:r>
      <w:r w:rsid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dolumu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gerçekleştirilen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kapatma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işlemini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kapsayan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hariç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herhangi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biyolojik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fiziksel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değişikliğe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tutulmayan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23F3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bitmiş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haldeki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ürünleri,</w:t>
      </w:r>
    </w:p>
    <w:p w14:paraId="6DE050DD" w14:textId="11EB77B6" w:rsidR="00441712" w:rsidRDefault="00FF4F1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 w:rsidR="004653F6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sağlığı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Kategori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1B’de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mutajen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kanserojen,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üzerinde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toksik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Kategori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endokrin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bozucu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uyumlaştırılmış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sınıflandırması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nedeniyle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22231301"/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11/12/2013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28848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mükerrer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Start w:id="2" w:name="_Hlk222214187"/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Karışımların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Sınıflandırılması,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Etiketlenmesi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Ambalajlanması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ğin</w:t>
      </w:r>
      <w:bookmarkEnd w:id="1"/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End w:id="2"/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bölümünde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türevini</w:t>
      </w:r>
    </w:p>
    <w:p w14:paraId="1E549F99" w14:textId="1D14D1F5" w:rsidR="008260D6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eder.</w:t>
      </w:r>
    </w:p>
    <w:p w14:paraId="2F7B6841" w14:textId="62470ABC" w:rsidR="002C5F4A" w:rsidRPr="002C5F4A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41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yasak</w:t>
      </w:r>
      <w:r w:rsidR="00841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lamalar</w:t>
      </w:r>
    </w:p>
    <w:p w14:paraId="482D5987" w14:textId="4BBF0EAA" w:rsidR="007962A3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kullanılamaz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edilemez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14E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41B5F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kısıtlamalar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dikkate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alınarak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kullanılabilir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edilebilir.</w:t>
      </w:r>
    </w:p>
    <w:p w14:paraId="0ED07340" w14:textId="2C8D32C5" w:rsidR="00034378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E14E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hiçbir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kalıntısı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bulunamaz.</w:t>
      </w:r>
    </w:p>
    <w:p w14:paraId="6DE2249B" w14:textId="65EFBDA2" w:rsidR="0074450F" w:rsidRPr="002C5F4A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884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yasaklamalar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1A5D880" w14:textId="59E1FAC7" w:rsidR="00EF3C08" w:rsidRPr="00574A73" w:rsidRDefault="0074450F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56F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elir</w:t>
      </w:r>
      <w:r w:rsidR="00F061E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</w:t>
      </w:r>
      <w:r w:rsidR="00E56F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B5A8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edilemez</w:t>
      </w:r>
      <w:r w:rsidR="00A064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F3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türev</w:t>
      </w:r>
      <w:r w:rsidR="00EF3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kullanılabilir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kurallara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edilir.</w:t>
      </w:r>
    </w:p>
    <w:p w14:paraId="795A2C85" w14:textId="0EB5CC38" w:rsidR="00EF3C08" w:rsidRPr="00EF3C08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almayan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kurallara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yapılır.</w:t>
      </w:r>
    </w:p>
    <w:p w14:paraId="136AEF51" w14:textId="4810C857" w:rsidR="00EF3C08" w:rsidRPr="00EF3C08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(3)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uygulanmaz.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045A4783" w14:textId="1444927B" w:rsidR="0074450F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51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kullanımına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izin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verilmesi</w:t>
      </w:r>
    </w:p>
    <w:p w14:paraId="16761FFE" w14:textId="5545873C" w:rsidR="0074450F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izin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alınma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9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uncu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hükümleri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uyarınca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yapılır.</w:t>
      </w:r>
    </w:p>
    <w:p w14:paraId="6FC7935B" w14:textId="4411D0CD" w:rsidR="00DB7923" w:rsidRDefault="00964BF2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Müdürlük,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10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uncu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hükmü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uyarınca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kullanımına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yönelik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fıkra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bilimsel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görüş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yayımlar.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Aynı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çok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tamamı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bilimsel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görüş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yayımlanır.</w:t>
      </w:r>
    </w:p>
    <w:p w14:paraId="01A8DD56" w14:textId="52836123" w:rsidR="00F67F8F" w:rsidRPr="00DB7923" w:rsidRDefault="00F57B1D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sz w:val="23"/>
          <w:szCs w:val="23"/>
        </w:rPr>
        <w:t>(3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DB7923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kısıtlamaya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tabi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kullanılıp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kullanılmayacağı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tarafından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değerlendirme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yapılır.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İzin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verilmesi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Ek-2’deki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listeye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ilave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edilir.</w:t>
      </w:r>
    </w:p>
    <w:p w14:paraId="463FD3BB" w14:textId="06A1625E" w:rsidR="007D153D" w:rsidRDefault="007D153D" w:rsidP="000D15DD">
      <w:pPr>
        <w:pStyle w:val="Default0"/>
        <w:ind w:firstLine="567"/>
        <w:jc w:val="both"/>
        <w:rPr>
          <w:rFonts w:eastAsia="Times New Roman"/>
          <w:bCs/>
          <w:lang w:eastAsia="tr-TR"/>
        </w:rPr>
      </w:pPr>
      <w:r>
        <w:rPr>
          <w:rFonts w:eastAsia="Times New Roman"/>
          <w:bCs/>
          <w:lang w:eastAsia="tr-TR"/>
        </w:rPr>
        <w:t>(4)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Bu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maddenin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b</w:t>
      </w:r>
      <w:r>
        <w:rPr>
          <w:rFonts w:eastAsia="Times New Roman"/>
          <w:bCs/>
          <w:lang w:eastAsia="tr-TR"/>
        </w:rPr>
        <w:t>irinci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fıkra</w:t>
      </w:r>
      <w:r w:rsidR="006E58BE">
        <w:rPr>
          <w:rFonts w:eastAsia="Times New Roman"/>
          <w:bCs/>
          <w:lang w:eastAsia="tr-TR"/>
        </w:rPr>
        <w:t>sında</w:t>
      </w:r>
      <w:r>
        <w:rPr>
          <w:rFonts w:eastAsia="Times New Roman"/>
          <w:bCs/>
          <w:lang w:eastAsia="tr-TR"/>
        </w:rPr>
        <w:t>ki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başvurunun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yapılması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için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Genel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Müdürlük</w:t>
      </w:r>
      <w:r w:rsidR="00C201EB">
        <w:rPr>
          <w:rFonts w:eastAsia="Times New Roman"/>
          <w:bCs/>
          <w:lang w:eastAsia="tr-TR"/>
        </w:rPr>
        <w:t>,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bisfenoller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türevlerinin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değerlendirilmesi</w:t>
      </w:r>
      <w:r w:rsidR="00F061EA">
        <w:rPr>
          <w:rFonts w:eastAsia="Times New Roman"/>
          <w:bCs/>
          <w:lang w:eastAsia="tr-TR"/>
        </w:rPr>
        <w:t>ne</w:t>
      </w:r>
      <w:r w:rsidR="00197C77">
        <w:rPr>
          <w:rFonts w:eastAsia="Times New Roman"/>
          <w:bCs/>
          <w:lang w:eastAsia="tr-TR"/>
        </w:rPr>
        <w:t xml:space="preserve"> </w:t>
      </w:r>
      <w:r w:rsidR="00F061EA">
        <w:rPr>
          <w:rFonts w:eastAsia="Times New Roman"/>
          <w:bCs/>
          <w:lang w:eastAsia="tr-TR"/>
        </w:rPr>
        <w:t>yönelik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bilimsel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gereklilikleri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açıklayan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bilgiler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yayı</w:t>
      </w:r>
      <w:r w:rsidR="00822281">
        <w:rPr>
          <w:rFonts w:eastAsia="Times New Roman"/>
          <w:bCs/>
          <w:lang w:eastAsia="tr-TR"/>
        </w:rPr>
        <w:t>m</w:t>
      </w:r>
      <w:r w:rsidR="00020242">
        <w:rPr>
          <w:rFonts w:eastAsia="Times New Roman"/>
          <w:bCs/>
          <w:lang w:eastAsia="tr-TR"/>
        </w:rPr>
        <w:t>lar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Türk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Kodeksi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Malzemelere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Dair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Yönetmeliğin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9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uncu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maddesinde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yer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alan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kılavuzları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günceller.</w:t>
      </w:r>
    </w:p>
    <w:p w14:paraId="19AA7C36" w14:textId="64E5E72B" w:rsidR="007962A3" w:rsidRPr="00020242" w:rsidRDefault="00020242" w:rsidP="000D15DD">
      <w:pPr>
        <w:pStyle w:val="Default0"/>
        <w:ind w:firstLine="566"/>
        <w:jc w:val="both"/>
        <w:rPr>
          <w:sz w:val="23"/>
          <w:szCs w:val="23"/>
        </w:rPr>
      </w:pPr>
      <w:r>
        <w:rPr>
          <w:rFonts w:eastAsia="Times New Roman"/>
          <w:bCs/>
          <w:lang w:eastAsia="tr-TR"/>
        </w:rPr>
        <w:lastRenderedPageBreak/>
        <w:t>(5)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Genel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Müdürlüğün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talep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etmesi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halinde</w:t>
      </w:r>
      <w:r w:rsidR="00822281">
        <w:rPr>
          <w:rFonts w:eastAsia="Times New Roman"/>
          <w:bCs/>
          <w:lang w:eastAsia="tr-TR"/>
        </w:rPr>
        <w:t>,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bisfenoller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türevlerini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malzeme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üretiminde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kullanan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işletmeciler,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dördüncü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fıkradaki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bilgilerin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hazırlanmasına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yardımcı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olmak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üzere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malzemelerin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üretiminde</w:t>
      </w:r>
      <w:r w:rsidR="00197C77">
        <w:rPr>
          <w:rFonts w:eastAsia="Times New Roman"/>
          <w:bCs/>
          <w:lang w:eastAsia="tr-TR"/>
        </w:rPr>
        <w:t xml:space="preserve"> </w:t>
      </w:r>
      <w:r w:rsidR="00F90BDB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türevlerinin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kullanımına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ilişkin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verileri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sağla</w:t>
      </w:r>
      <w:r>
        <w:rPr>
          <w:rFonts w:eastAsia="Times New Roman"/>
          <w:bCs/>
          <w:lang w:eastAsia="tr-TR"/>
        </w:rPr>
        <w:t>r.</w:t>
      </w:r>
      <w:r w:rsidR="00197C77">
        <w:rPr>
          <w:sz w:val="23"/>
          <w:szCs w:val="23"/>
        </w:rPr>
        <w:t xml:space="preserve"> </w:t>
      </w:r>
    </w:p>
    <w:p w14:paraId="3C6BE94D" w14:textId="583FEA47" w:rsidR="00B148C3" w:rsidRPr="00B148C3" w:rsidRDefault="009F575C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alternatif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maddelere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raporlama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yükümlülükleri</w:t>
      </w:r>
    </w:p>
    <w:p w14:paraId="22076386" w14:textId="4D893E22" w:rsidR="000D15DD" w:rsidRDefault="002C5F4A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F37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F372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işletmeciler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alternatif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durumu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Müdürlüğe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sağlamakla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yükümlüdür.</w:t>
      </w:r>
    </w:p>
    <w:p w14:paraId="446CE33D" w14:textId="5D671B93" w:rsidR="000D15DD" w:rsidRDefault="00CE196C" w:rsidP="000D15DD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Birinci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fıkrada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BE3">
        <w:rPr>
          <w:rFonts w:ascii="Times New Roman" w:hAnsi="Times New Roman" w:cs="Times New Roman"/>
          <w:color w:val="000000" w:themeColor="text1"/>
          <w:sz w:val="24"/>
          <w:szCs w:val="24"/>
        </w:rPr>
        <w:t>belirtil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bilgi,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türevinin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malzeme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üretiminde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verildiği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tarihten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sonra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Müdürlüğe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iletilir.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türevinin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iznin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devam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etmesi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önceki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sunuluş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tarihinden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sonra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güncellenerek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Müdürlüğe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iletilir.</w:t>
      </w:r>
    </w:p>
    <w:p w14:paraId="6127BBAD" w14:textId="3CAB76F6" w:rsidR="000D15DD" w:rsidRDefault="002C5F4A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destekleyici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belgeler</w:t>
      </w:r>
    </w:p>
    <w:p w14:paraId="48710DCA" w14:textId="25216D8D" w:rsidR="000D15DD" w:rsidRDefault="002C5F4A" w:rsidP="000D15DD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8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F37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İşletmeciler,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="004901A7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â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lihazırda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gıda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temas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etmemiş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A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Tebliğ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kapsamında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alan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malzemelerin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yanı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sıra,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malzemelerin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üretiminde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monomer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veya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diğer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başlangıç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maddesi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olarak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kullanılacak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bisfenol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bisfenol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türevleri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için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perakende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dışındaki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tüm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pazarlama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aşamalarında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14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uygun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olduğunu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gösteren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yazılı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beyan</w:t>
      </w:r>
      <w:r w:rsidR="003065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65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bulunur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343C278" w14:textId="41DD3D08" w:rsidR="000D15DD" w:rsidRDefault="00CF4F58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-3’te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içerir.</w:t>
      </w:r>
    </w:p>
    <w:p w14:paraId="3D25343B" w14:textId="32E1840E" w:rsidR="000D15DD" w:rsidRDefault="00CF4F58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(3)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Uygunluğu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gösteren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belgeler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bulundurulur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talep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edilmesi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yetkililerine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sunulur.</w:t>
      </w:r>
    </w:p>
    <w:p w14:paraId="6D2420E1" w14:textId="10F892D9" w:rsidR="000D15DD" w:rsidRDefault="00AE3C2B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Uygunluğun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doğrulanması</w:t>
      </w:r>
    </w:p>
    <w:p w14:paraId="3ADF8265" w14:textId="18619636" w:rsidR="00AE3C2B" w:rsidRPr="000D15DD" w:rsidRDefault="00AE3C2B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9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gerekliliklere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uygunluğun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17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/12/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2011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28145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Gazete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’de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034E5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Kontrollerine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analiz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metotları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seçilir.</w:t>
      </w:r>
    </w:p>
    <w:p w14:paraId="2B9A2B38" w14:textId="575566D8" w:rsidR="005348B3" w:rsidRDefault="005348B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kalıntısı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C07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</w:t>
      </w:r>
      <w:r w:rsidR="00212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içermediği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bileşenlerin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erinde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geçmediğinin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seçilirken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uygulanacak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şunlardır</w:t>
      </w:r>
      <w:r w:rsidR="00A5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:</w:t>
      </w:r>
    </w:p>
    <w:p w14:paraId="1CE3EA75" w14:textId="0D868698" w:rsidR="00C84E9B" w:rsidRPr="002E240A" w:rsidRDefault="000608B6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Ulusal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Referans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Müdürlüğü’nün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geliştirdiği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önerdiği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kullanılır.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Ulusal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Referans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Müdürlüğü’nün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geliştirdiği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önerdiği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</w:t>
      </w:r>
      <w:r w:rsidR="00C23F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D6F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olmaması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D6F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18/2/2024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31754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Kontrol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Laboratuvarları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Yönetmeliğinin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maddesine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yapılır.</w:t>
      </w:r>
    </w:p>
    <w:p w14:paraId="45F2CEF8" w14:textId="149DDB6B" w:rsidR="00863E4C" w:rsidRPr="00C254DD" w:rsidRDefault="000608B6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Pr="005043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0BB8"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0BB8"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fıkranın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63E4C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(a)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bendin</w:t>
      </w:r>
      <w:r w:rsidR="00863E4C" w:rsidRPr="00C254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çalışılan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metodun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parçası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farklı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belirlenmemesi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kullanılacak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metodun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E4C" w:rsidRPr="00C254DD">
        <w:rPr>
          <w:rFonts w:ascii="Times New Roman" w:hAnsi="Times New Roman" w:cs="Times New Roman"/>
          <w:color w:val="000000" w:themeColor="text1"/>
          <w:sz w:val="24"/>
          <w:szCs w:val="24"/>
        </w:rPr>
        <w:t>μg/kg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E4C" w:rsidRPr="00C254DD">
        <w:rPr>
          <w:rFonts w:ascii="Times New Roman" w:hAnsi="Times New Roman" w:cs="Times New Roman"/>
          <w:color w:val="000000" w:themeColor="text1"/>
          <w:sz w:val="24"/>
          <w:szCs w:val="24"/>
        </w:rPr>
        <w:t>olur.</w:t>
      </w:r>
    </w:p>
    <w:p w14:paraId="0ADF3DA4" w14:textId="6CD4F84D" w:rsidR="005348B3" w:rsidRPr="00C254DD" w:rsidRDefault="000608B6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kalıntısı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içermediğinin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ekstraksiyon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metodu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kullanılır.</w:t>
      </w:r>
    </w:p>
    <w:p w14:paraId="4BAAE6FA" w14:textId="2E38B87B" w:rsidR="0028189D" w:rsidRPr="00410BB8" w:rsidRDefault="00350D31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</w:t>
      </w:r>
      <w:r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limitine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doğrulama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yapılması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uygulanacak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şunlardır</w:t>
      </w:r>
      <w:r w:rsidR="000D15DD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14:paraId="4A2B9F2C" w14:textId="25E24327" w:rsidR="007C2657" w:rsidRPr="00504322" w:rsidRDefault="007C2657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Analiz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edilir.</w:t>
      </w:r>
    </w:p>
    <w:p w14:paraId="0686447D" w14:textId="0067B01D" w:rsidR="007C2657" w:rsidRDefault="00662FA9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limitine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uygunluk</w:t>
      </w:r>
      <w:r w:rsid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13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aynı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Ek-4’ünün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bölümleri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25/12/2019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30989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mükerrer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Bileşenlerinin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Testinde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Benzerleri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Listesi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belirlenir.</w:t>
      </w:r>
    </w:p>
    <w:p w14:paraId="66BD7C7C" w14:textId="278F7956" w:rsidR="00C93D66" w:rsidRPr="00673499" w:rsidRDefault="009427AC" w:rsidP="000D15DD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Öngörülen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temasın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borular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filtrasyon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tesisatı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gibi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sürekli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akış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koşulları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altında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gerçekleşmesi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halinde,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63E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süresi</w:t>
      </w:r>
      <w:r w:rsid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söz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konusu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boru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filtrasyon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</w:rPr>
        <w:t>sisatında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ortalama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kalma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süresine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eşit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olmalıdır.</w:t>
      </w:r>
    </w:p>
    <w:p w14:paraId="03038751" w14:textId="2CD1FF52" w:rsidR="00DB7923" w:rsidRDefault="00DB792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Birliği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uyum</w:t>
      </w:r>
    </w:p>
    <w:p w14:paraId="62570B2D" w14:textId="227FDDB8" w:rsidR="00DB7923" w:rsidRPr="00A714F2" w:rsidRDefault="00DB792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0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D5964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2024/3190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(BPA),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Türevlerinin,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Belirli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Özelliklerin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Uyumlaştırılm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Sınıflandırmayla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Komisyon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Tüzüğü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dikkate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alınarak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uyum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çerçevesinde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hazırlanmıştır.</w:t>
      </w:r>
    </w:p>
    <w:p w14:paraId="1A1D40B1" w14:textId="53FF3F33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İdari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yaptırım</w:t>
      </w:r>
    </w:p>
    <w:p w14:paraId="6F479619" w14:textId="49F9A95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bookmarkStart w:id="3" w:name="_Hlk192667463"/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bookmarkEnd w:id="3"/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aykırı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davrananlar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11/6/2010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5996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Veteriner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Hizmetleri,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Bitki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Sağlığı,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Kanununun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idari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yaptırım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uygulanır.</w:t>
      </w:r>
    </w:p>
    <w:p w14:paraId="28562815" w14:textId="28C7B31A" w:rsidR="002C5F4A" w:rsidRPr="00C254DD" w:rsidRDefault="00AE3C2B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hükümleri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57FD5B96" w14:textId="025E0673" w:rsidR="000D0F33" w:rsidRPr="00826D17" w:rsidRDefault="001034E5" w:rsidP="00826D17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GEÇİCİ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C5F4A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</w:p>
    <w:p w14:paraId="3C68A6B7" w14:textId="721EBD11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4" w:name="_Hlk201062194"/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işletmeciler,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zorundadır.</w:t>
      </w:r>
    </w:p>
    <w:p w14:paraId="15D09299" w14:textId="57476AE3" w:rsidR="000D0F33" w:rsidRPr="00803EE2" w:rsidRDefault="00826D17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süreleri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boyunca,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</w:t>
      </w:r>
      <w:r w:rsid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yürürlükte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mevzuat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uygulanmasına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devam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edilir.</w:t>
      </w:r>
    </w:p>
    <w:bookmarkEnd w:id="4"/>
    <w:p w14:paraId="7D94C26F" w14:textId="283246F6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içerecek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8437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31/12/2027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4EF407C5" w14:textId="2E5A4A19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5" w:name="_Hlk221610159"/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8437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bookmarkEnd w:id="5"/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30/6/2029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edilebilir:</w:t>
      </w:r>
    </w:p>
    <w:p w14:paraId="02DAFCB1" w14:textId="4454762A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6/8/2014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29080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Benzeri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konsantresi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nektarı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hariç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sebzeler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27/12/2011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28155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Hayvansal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Gıdalar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İçin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balıkçılık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muhafazasında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</w:p>
    <w:p w14:paraId="261CC9E6" w14:textId="67301403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vernik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kaplamanın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metal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yüzeyin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dış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kısmına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uygulandığı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maddeler.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97A4DDB" w14:textId="78B9745C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fıkralara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süresinin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sona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ermesini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takiben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ay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dolumu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kapatılabilir.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Elde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paketlenmiş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raf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ömrü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boyunca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kalabilir.</w:t>
      </w:r>
    </w:p>
    <w:p w14:paraId="2409981D" w14:textId="61DAB5AD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içerecek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31/12/2027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1F1D43F0" w14:textId="4E009A5A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Altıncı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30/6/2029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40C418E4" w14:textId="04189252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Altıncı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31/12/2028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yedinci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30/6/2030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kalabilir.</w:t>
      </w:r>
    </w:p>
    <w:p w14:paraId="31D5756F" w14:textId="77777777" w:rsidR="001B3B16" w:rsidRDefault="001B3B16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B8B920A" w14:textId="2954B5F6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Yürürlük</w:t>
      </w:r>
    </w:p>
    <w:p w14:paraId="246E5563" w14:textId="17DCB039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7C7A92"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yürürlüğe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girer.</w:t>
      </w:r>
    </w:p>
    <w:p w14:paraId="37CE82F1" w14:textId="77777777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08823870" w14:textId="5845AF7C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7C7A92"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Tarım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Bakanı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yürütür.</w:t>
      </w:r>
    </w:p>
    <w:p w14:paraId="06BBCED9" w14:textId="7427587E" w:rsidR="002C5F4A" w:rsidRPr="002C5F4A" w:rsidRDefault="00197C77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6DFB0A1C" w14:textId="77777777" w:rsidR="000A425C" w:rsidRDefault="000A425C" w:rsidP="000D15DD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B14AA0F" w14:textId="77777777" w:rsidR="000D15DD" w:rsidRDefault="000D15DD" w:rsidP="000D15DD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63635CA" w14:textId="20B943C1" w:rsidR="002C5F4A" w:rsidRPr="002C5F4A" w:rsidRDefault="002C5F4A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EK-1</w:t>
      </w:r>
    </w:p>
    <w:p w14:paraId="68BA440C" w14:textId="75509750" w:rsidR="002C5F4A" w:rsidRPr="002C5F4A" w:rsidRDefault="00430AF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Yapısı</w:t>
      </w:r>
    </w:p>
    <w:p w14:paraId="4CD16D01" w14:textId="6A80BCCB" w:rsidR="002C5F4A" w:rsidRPr="002C5F4A" w:rsidRDefault="00197C77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94FA7BE" w14:textId="10346F7E" w:rsidR="002C5F4A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30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FE2D87A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97797D" w14:textId="77777777" w:rsidR="00430AFD" w:rsidRDefault="00430AF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30A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 wp14:anchorId="2EEADEF8" wp14:editId="037895DB">
            <wp:extent cx="4290060" cy="10363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A0F4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75783BC" w14:textId="76F81D49" w:rsidR="00430AFD" w:rsidRDefault="00833FFB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="00430AFD" w:rsidRPr="00430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</w:t>
      </w:r>
      <w:r w:rsid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F35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ürevinin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7365ADFE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ED0DC4A" w14:textId="77777777" w:rsidR="00430AFD" w:rsidRP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D9FD5D4" w14:textId="77777777" w:rsidR="001B32BA" w:rsidRDefault="00430AFD" w:rsidP="000D15DD">
      <w:pPr>
        <w:spacing w:after="0"/>
        <w:jc w:val="center"/>
      </w:pPr>
      <w:r w:rsidRPr="00430AFD">
        <w:rPr>
          <w:noProof/>
          <w:lang w:eastAsia="tr-TR"/>
        </w:rPr>
        <w:drawing>
          <wp:inline distT="0" distB="0" distL="0" distR="0" wp14:anchorId="4419AA28" wp14:editId="27A191D5">
            <wp:extent cx="4655820" cy="18516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02C8" w14:textId="77777777" w:rsidR="00430AFD" w:rsidRDefault="00430AFD" w:rsidP="000D15DD">
      <w:pPr>
        <w:spacing w:after="0"/>
        <w:jc w:val="center"/>
      </w:pPr>
    </w:p>
    <w:p w14:paraId="7806612F" w14:textId="77777777" w:rsidR="00430AFD" w:rsidRDefault="00430AFD" w:rsidP="000D15DD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</w:pPr>
      <w:r w:rsidRPr="005E3400"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  <w:t>Notlar:</w:t>
      </w:r>
    </w:p>
    <w:p w14:paraId="27CB4090" w14:textId="4F8E164F" w:rsidR="009B0CB1" w:rsidRPr="009B0CB1" w:rsidRDefault="009B0CB1" w:rsidP="000D15DD">
      <w:pPr>
        <w:spacing w:after="0" w:line="240" w:lineRule="atLeast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 w:rsidRPr="009B0CB1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X: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İki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fenil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halkasını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atomla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ayıran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herhangi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köprü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grubunu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eder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atom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fa</w:t>
      </w:r>
      <w:r w:rsidR="00EE3025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rklı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 w:rsidR="00EE3025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sübstitüentlere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sahip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olabilir.</w:t>
      </w:r>
    </w:p>
    <w:p w14:paraId="3B788AC9" w14:textId="77777777" w:rsidR="005E3400" w:rsidRPr="005E3400" w:rsidRDefault="005E3400" w:rsidP="000D15DD">
      <w:pPr>
        <w:spacing w:after="0" w:line="240" w:lineRule="atLeast"/>
        <w:rPr>
          <w:rFonts w:ascii="Times New Roman" w:hAnsi="Times New Roman" w:cs="Times New Roman"/>
          <w:color w:val="000000"/>
          <w:szCs w:val="24"/>
        </w:rPr>
      </w:pPr>
    </w:p>
    <w:p w14:paraId="1A711CE2" w14:textId="7FEAD0AE" w:rsidR="00430AFD" w:rsidRPr="005E3400" w:rsidRDefault="00430AFD" w:rsidP="000D15DD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</w:pPr>
      <w:r w:rsidRPr="005E3400">
        <w:rPr>
          <w:rFonts w:ascii="Times New Roman" w:hAnsi="Times New Roman" w:cs="Times New Roman"/>
          <w:color w:val="000000"/>
          <w:szCs w:val="24"/>
        </w:rPr>
        <w:t>R</w:t>
      </w:r>
      <w:r w:rsidRPr="005E3400">
        <w:rPr>
          <w:rFonts w:ascii="Times New Roman" w:hAnsi="Times New Roman" w:cs="Times New Roman"/>
          <w:color w:val="000000"/>
          <w:szCs w:val="24"/>
          <w:vertAlign w:val="subscript"/>
        </w:rPr>
        <w:t>1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C93D66" w:rsidRPr="00673499">
        <w:rPr>
          <w:rFonts w:ascii="Times New Roman" w:hAnsi="Times New Roman" w:cs="Times New Roman"/>
          <w:szCs w:val="24"/>
        </w:rPr>
        <w:t>-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5E3400">
        <w:rPr>
          <w:rFonts w:ascii="Times New Roman" w:hAnsi="Times New Roman" w:cs="Times New Roman"/>
          <w:color w:val="000000"/>
          <w:szCs w:val="24"/>
        </w:rPr>
        <w:t>R</w:t>
      </w:r>
      <w:r w:rsidRPr="005E3400">
        <w:rPr>
          <w:rFonts w:ascii="Times New Roman" w:hAnsi="Times New Roman" w:cs="Times New Roman"/>
          <w:color w:val="000000"/>
          <w:szCs w:val="24"/>
          <w:vertAlign w:val="subscript"/>
        </w:rPr>
        <w:t>10</w:t>
      </w:r>
      <w:r w:rsidR="005E3400" w:rsidRPr="005E3400">
        <w:rPr>
          <w:rFonts w:ascii="Times New Roman" w:hAnsi="Times New Roman" w:cs="Times New Roman"/>
          <w:color w:val="000000"/>
          <w:szCs w:val="24"/>
        </w:rPr>
        <w:t>: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  </w:t>
      </w:r>
      <w:r w:rsidR="009B0CB1">
        <w:rPr>
          <w:rFonts w:ascii="Times New Roman" w:hAnsi="Times New Roman" w:cs="Times New Roman"/>
          <w:color w:val="000000"/>
          <w:szCs w:val="24"/>
        </w:rPr>
        <w:t>Herhangi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bir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sübstitüenti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ifade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eder.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Sübstitüentlerden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 w:rsidRPr="00673499">
        <w:rPr>
          <w:rFonts w:ascii="Times New Roman" w:hAnsi="Times New Roman" w:cs="Times New Roman"/>
          <w:color w:val="000000"/>
          <w:szCs w:val="24"/>
        </w:rPr>
        <w:t>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 w:rsidRPr="00673499">
        <w:rPr>
          <w:rFonts w:ascii="Times New Roman" w:hAnsi="Times New Roman" w:cs="Times New Roman"/>
          <w:color w:val="000000"/>
          <w:szCs w:val="24"/>
        </w:rPr>
        <w:t>az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biri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hidrojen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atomu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(H)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değildir.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736D2D01" w14:textId="3D05CE2C" w:rsidR="005516CD" w:rsidRDefault="00197C77" w:rsidP="000D15DD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14:paraId="31B80141" w14:textId="77777777" w:rsidR="005516CD" w:rsidRDefault="005516CD" w:rsidP="000D15DD">
      <w:pPr>
        <w:spacing w:after="0"/>
        <w:rPr>
          <w:szCs w:val="24"/>
        </w:rPr>
      </w:pPr>
    </w:p>
    <w:p w14:paraId="453F35B9" w14:textId="77777777" w:rsidR="00867426" w:rsidRDefault="00867426" w:rsidP="000D15DD">
      <w:pPr>
        <w:spacing w:after="0"/>
        <w:rPr>
          <w:szCs w:val="24"/>
        </w:rPr>
      </w:pPr>
    </w:p>
    <w:p w14:paraId="6FD934B7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FE3714E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CF88E63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C77855B" w14:textId="77777777" w:rsidR="007525DC" w:rsidRDefault="007525DC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B58D323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8F1E5F5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ECE6A2A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5CFF97B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28C691E" w14:textId="77777777" w:rsidR="001B3B16" w:rsidRDefault="001B3B16" w:rsidP="001B3B16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4FCD03A" w14:textId="0EE5CB69" w:rsidR="005E3400" w:rsidRPr="002C5F4A" w:rsidRDefault="005E3400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</w:p>
    <w:p w14:paraId="11CD08A1" w14:textId="41CDB0EB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442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nol</w:t>
      </w:r>
      <w:r w:rsidR="00212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Kullanım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Kısıtlamaları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Listesi</w:t>
      </w:r>
    </w:p>
    <w:p w14:paraId="01D0CDE0" w14:textId="77777777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276C57E" w14:textId="77777777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71"/>
        <w:gridCol w:w="1073"/>
        <w:gridCol w:w="2388"/>
        <w:gridCol w:w="1346"/>
        <w:gridCol w:w="1441"/>
        <w:gridCol w:w="1641"/>
      </w:tblGrid>
      <w:tr w:rsidR="000A425C" w14:paraId="042528BA" w14:textId="77777777" w:rsidTr="008260D6">
        <w:tc>
          <w:tcPr>
            <w:tcW w:w="1172" w:type="dxa"/>
          </w:tcPr>
          <w:p w14:paraId="618358AD" w14:textId="73F900DB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</w:tcPr>
          <w:p w14:paraId="06EDD6E4" w14:textId="28539A3F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</w:tcPr>
          <w:p w14:paraId="6D59ADD6" w14:textId="09571FF6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246ECFBF" w14:textId="214026FA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(4)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4A24A688" w14:textId="43352809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41" w:type="dxa"/>
          </w:tcPr>
          <w:p w14:paraId="7B158891" w14:textId="665AAF7B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</w:tr>
      <w:tr w:rsidR="000A425C" w14:paraId="7A1AE904" w14:textId="77777777" w:rsidTr="008260D6">
        <w:tc>
          <w:tcPr>
            <w:tcW w:w="1172" w:type="dxa"/>
          </w:tcPr>
          <w:p w14:paraId="20981966" w14:textId="13258992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</w:tcPr>
          <w:p w14:paraId="06132FE1" w14:textId="0652ED15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</w:tcPr>
          <w:p w14:paraId="29208BB4" w14:textId="47B4C93E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ismi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609C3E5F" w14:textId="7A8FAB7C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Malzeme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Türü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6511B560" w14:textId="5C1C7880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Spesifik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Uygulama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41" w:type="dxa"/>
          </w:tcPr>
          <w:p w14:paraId="73680F2B" w14:textId="107EE590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Diğer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Kısıtlamalar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</w:tr>
      <w:tr w:rsidR="00870281" w14:paraId="673EA9C9" w14:textId="77777777" w:rsidTr="00870281">
        <w:trPr>
          <w:trHeight w:val="2778"/>
        </w:trPr>
        <w:tc>
          <w:tcPr>
            <w:tcW w:w="1172" w:type="dxa"/>
            <w:vMerge w:val="restart"/>
          </w:tcPr>
          <w:p w14:paraId="756A3D27" w14:textId="099F7D49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  <w:vMerge w:val="restart"/>
          </w:tcPr>
          <w:p w14:paraId="07B9075E" w14:textId="045DF13F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80-05-7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14:paraId="1FFCA4F7" w14:textId="76A26303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4,4'-isopropylidenediphenol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 w:rsidR="00AF0D61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isphenol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A)</w:t>
            </w:r>
            <w:r w:rsidR="00197C77">
              <w:rPr>
                <w:sz w:val="23"/>
                <w:szCs w:val="23"/>
              </w:rPr>
              <w:t xml:space="preserve"> </w:t>
            </w:r>
          </w:p>
          <w:p w14:paraId="605C60E9" w14:textId="507335B9" w:rsidR="000A7D24" w:rsidRDefault="00197C77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52FEBA96" w14:textId="24C444C2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Vernikler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Kaplamalar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1148F492" w14:textId="4C8AE275" w:rsidR="00B631E4" w:rsidRDefault="00B631E4" w:rsidP="000D15DD">
            <w:pPr>
              <w:pStyle w:val="Default0"/>
              <w:rPr>
                <w:sz w:val="23"/>
                <w:szCs w:val="23"/>
              </w:rPr>
            </w:pPr>
            <w:r w:rsidRPr="00B631E4">
              <w:rPr>
                <w:sz w:val="23"/>
                <w:szCs w:val="23"/>
              </w:rPr>
              <w:t>1.000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litreden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büyük</w:t>
            </w:r>
            <w:r w:rsidR="00197C77">
              <w:rPr>
                <w:sz w:val="23"/>
                <w:szCs w:val="23"/>
              </w:rPr>
              <w:t xml:space="preserve"> </w:t>
            </w:r>
            <w:r w:rsidR="006A47DF">
              <w:rPr>
                <w:sz w:val="23"/>
                <w:szCs w:val="23"/>
              </w:rPr>
              <w:t>hacme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sahip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="00E52F78">
              <w:rPr>
                <w:sz w:val="23"/>
                <w:szCs w:val="23"/>
              </w:rPr>
              <w:t>kendinden</w:t>
            </w:r>
            <w:r w:rsidR="00197C77">
              <w:rPr>
                <w:sz w:val="23"/>
                <w:szCs w:val="23"/>
              </w:rPr>
              <w:t xml:space="preserve"> </w:t>
            </w:r>
            <w:r w:rsidR="00E52F78">
              <w:rPr>
                <w:sz w:val="23"/>
                <w:szCs w:val="23"/>
              </w:rPr>
              <w:t>destekli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malzemeler</w:t>
            </w:r>
            <w:r w:rsidR="00AB6CE5">
              <w:rPr>
                <w:sz w:val="23"/>
                <w:szCs w:val="23"/>
              </w:rPr>
              <w:t>e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uygulanacak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sıvı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epoksi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reçinelerin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üretiminde,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monomer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veya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başlangıç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maddesi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olarak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kullanım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için.</w:t>
            </w:r>
          </w:p>
        </w:tc>
        <w:tc>
          <w:tcPr>
            <w:tcW w:w="1641" w:type="dxa"/>
          </w:tcPr>
          <w:p w14:paraId="36DB43FB" w14:textId="6F26844B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Gıdada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migrasyon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tespit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edilmeyecektir.</w:t>
            </w:r>
          </w:p>
          <w:p w14:paraId="14CBBDD7" w14:textId="2065DA1B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nihai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ürün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ilk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temasından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önce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temizlenir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yıkanır.</w:t>
            </w:r>
          </w:p>
        </w:tc>
      </w:tr>
      <w:tr w:rsidR="00870281" w14:paraId="4B42F6EB" w14:textId="77777777" w:rsidTr="008260D6">
        <w:trPr>
          <w:trHeight w:val="2778"/>
        </w:trPr>
        <w:tc>
          <w:tcPr>
            <w:tcW w:w="1172" w:type="dxa"/>
            <w:vMerge/>
          </w:tcPr>
          <w:p w14:paraId="6A046533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074" w:type="dxa"/>
            <w:vMerge/>
          </w:tcPr>
          <w:p w14:paraId="45AB45EB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388" w:type="dxa"/>
            <w:vMerge/>
          </w:tcPr>
          <w:p w14:paraId="56A633E4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14:paraId="4121A4C5" w14:textId="36EF727B" w:rsidR="00870281" w:rsidRPr="00163DB1" w:rsidRDefault="00870281" w:rsidP="000D15DD">
            <w:pPr>
              <w:pStyle w:val="Default0"/>
              <w:rPr>
                <w:sz w:val="23"/>
                <w:szCs w:val="23"/>
              </w:rPr>
            </w:pPr>
            <w:r w:rsidRPr="00163DB1">
              <w:rPr>
                <w:sz w:val="23"/>
                <w:szCs w:val="23"/>
              </w:rPr>
              <w:t>Plastikler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42BAE578" w14:textId="66FE35F4" w:rsidR="00870281" w:rsidRPr="00163DB1" w:rsidRDefault="00870281" w:rsidP="000D15D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Polis</w:t>
            </w:r>
            <w:r w:rsidR="002B51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lfon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filtrasyon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membran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ünitelerinin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üretiminde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monomer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veya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başlangıç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maddes</w:t>
            </w:r>
            <w:r w:rsidR="005516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olarak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kullanım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için.</w:t>
            </w:r>
          </w:p>
        </w:tc>
        <w:tc>
          <w:tcPr>
            <w:tcW w:w="1641" w:type="dxa"/>
          </w:tcPr>
          <w:p w14:paraId="17020683" w14:textId="67B58C86" w:rsidR="00870281" w:rsidRPr="00163DB1" w:rsidRDefault="00870281" w:rsidP="000D15DD">
            <w:pPr>
              <w:pStyle w:val="Default0"/>
              <w:rPr>
                <w:sz w:val="23"/>
                <w:szCs w:val="23"/>
              </w:rPr>
            </w:pPr>
            <w:r w:rsidRPr="00163DB1">
              <w:rPr>
                <w:sz w:val="23"/>
                <w:szCs w:val="23"/>
              </w:rPr>
              <w:t>Gıdada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migrasyon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tespit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edilmeyecektir.</w:t>
            </w:r>
          </w:p>
          <w:p w14:paraId="43C081DE" w14:textId="07B9819D" w:rsidR="00870281" w:rsidRDefault="00870281" w:rsidP="000D15DD">
            <w:pPr>
              <w:pStyle w:val="Default0"/>
              <w:rPr>
                <w:rFonts w:eastAsia="Times New Roman"/>
                <w:sz w:val="27"/>
                <w:szCs w:val="27"/>
                <w:lang w:eastAsia="tr-TR"/>
              </w:rPr>
            </w:pPr>
            <w:r w:rsidRPr="00163DB1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nihai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ürün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ilk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temasından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önce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temizlenir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yıkanır.</w:t>
            </w:r>
          </w:p>
        </w:tc>
      </w:tr>
    </w:tbl>
    <w:p w14:paraId="630763F8" w14:textId="6A7CFCED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14:paraId="57FFF420" w14:textId="77777777" w:rsidR="00DA4FA4" w:rsidRPr="002C5F4A" w:rsidRDefault="00DA4FA4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14:paraId="47FCD7F1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B986370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32687CC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F88C807" w14:textId="77777777" w:rsidR="007525DC" w:rsidRDefault="007525DC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49D9DF5" w14:textId="77777777" w:rsidR="007525DC" w:rsidRDefault="007525DC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728A59F" w14:textId="77777777" w:rsidR="00843779" w:rsidRDefault="00843779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2FD06D4" w14:textId="58D965F1" w:rsidR="001034E5" w:rsidRDefault="005E3400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EK-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</w:p>
    <w:p w14:paraId="28A31FE7" w14:textId="1DB45826" w:rsidR="001034E5" w:rsidRDefault="005E3400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Beyanı</w:t>
      </w:r>
    </w:p>
    <w:p w14:paraId="26A6A296" w14:textId="7BA47F0D" w:rsidR="005E3400" w:rsidRPr="001034E5" w:rsidRDefault="007671EC" w:rsidP="001034E5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8 inci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="00212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elirti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aşağıdaki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içerir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:</w:t>
      </w:r>
    </w:p>
    <w:p w14:paraId="6F5B0121" w14:textId="3453BB3D" w:rsidR="00B44555" w:rsidRDefault="00B44555" w:rsidP="001034E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beyanını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veren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işletmecinin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güncel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telefon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numarası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e-posta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dâhil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iletişim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i,</w:t>
      </w:r>
    </w:p>
    <w:p w14:paraId="114744C7" w14:textId="7DC833F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malzemeyi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ithal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işletmecinin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güncel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telefon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numarası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e-posta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dâhil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iletişim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76264E72" w14:textId="78D3250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3)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maddeleri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369C688C" w14:textId="0021CC38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4)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tarihi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29638386" w14:textId="7640F30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5)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listesi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69B97C27" w14:textId="4456BF7E" w:rsidR="005E3400" w:rsidRDefault="00B44555" w:rsidP="000D15DD">
      <w:pPr>
        <w:spacing w:after="0" w:line="240" w:lineRule="atLeast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ürün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hem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leri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gereklilikleri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yerine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getirdiğine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beyan.</w:t>
      </w:r>
      <w:r w:rsidR="00197C77">
        <w:rPr>
          <w:sz w:val="23"/>
          <w:szCs w:val="23"/>
        </w:rPr>
        <w:t xml:space="preserve"> </w:t>
      </w:r>
    </w:p>
    <w:p w14:paraId="001C626F" w14:textId="5BF8E409" w:rsidR="0028189D" w:rsidRDefault="0028189D" w:rsidP="000D15DD">
      <w:pPr>
        <w:spacing w:after="0" w:line="240" w:lineRule="atLeast"/>
        <w:rPr>
          <w:sz w:val="23"/>
          <w:szCs w:val="23"/>
        </w:rPr>
      </w:pPr>
    </w:p>
    <w:p w14:paraId="0BDCC128" w14:textId="77777777" w:rsidR="005E3400" w:rsidRPr="005E3400" w:rsidRDefault="005E3400" w:rsidP="000D15DD">
      <w:pPr>
        <w:spacing w:after="0"/>
        <w:rPr>
          <w:szCs w:val="24"/>
        </w:rPr>
      </w:pPr>
    </w:p>
    <w:sectPr w:rsidR="005E3400" w:rsidRPr="005E3400" w:rsidSect="00B9665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182DD" w14:textId="77777777" w:rsidR="00D06864" w:rsidRDefault="00D06864" w:rsidP="00E148DF">
      <w:pPr>
        <w:spacing w:after="0" w:line="240" w:lineRule="auto"/>
      </w:pPr>
      <w:r>
        <w:separator/>
      </w:r>
    </w:p>
  </w:endnote>
  <w:endnote w:type="continuationSeparator" w:id="0">
    <w:p w14:paraId="26590677" w14:textId="77777777" w:rsidR="00D06864" w:rsidRDefault="00D06864" w:rsidP="00E1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500273"/>
      <w:docPartObj>
        <w:docPartGallery w:val="Page Numbers (Bottom of Page)"/>
        <w:docPartUnique/>
      </w:docPartObj>
    </w:sdtPr>
    <w:sdtEndPr/>
    <w:sdtContent>
      <w:p w14:paraId="60EE224F" w14:textId="663AB712" w:rsidR="00B96658" w:rsidRDefault="00B9665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6D">
          <w:rPr>
            <w:noProof/>
          </w:rPr>
          <w:t>1</w:t>
        </w:r>
        <w:r>
          <w:fldChar w:fldCharType="end"/>
        </w:r>
      </w:p>
    </w:sdtContent>
  </w:sdt>
  <w:p w14:paraId="6290D1C6" w14:textId="77777777" w:rsidR="00E148DF" w:rsidRDefault="00E148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DA764" w14:textId="77777777" w:rsidR="00D06864" w:rsidRDefault="00D06864" w:rsidP="00E148DF">
      <w:pPr>
        <w:spacing w:after="0" w:line="240" w:lineRule="auto"/>
      </w:pPr>
      <w:r>
        <w:separator/>
      </w:r>
    </w:p>
  </w:footnote>
  <w:footnote w:type="continuationSeparator" w:id="0">
    <w:p w14:paraId="7F4218FE" w14:textId="77777777" w:rsidR="00D06864" w:rsidRDefault="00D06864" w:rsidP="00E1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6910" w14:textId="77777777" w:rsidR="00E148DF" w:rsidRDefault="00D06864">
    <w:pPr>
      <w:pStyle w:val="stbilgi"/>
    </w:pPr>
    <w:r>
      <w:rPr>
        <w:noProof/>
      </w:rPr>
      <w:pict w14:anchorId="03FB5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4414" w14:textId="77777777" w:rsidR="00E148DF" w:rsidRDefault="00D06864">
    <w:pPr>
      <w:pStyle w:val="stbilgi"/>
    </w:pPr>
    <w:r>
      <w:rPr>
        <w:noProof/>
      </w:rPr>
      <w:pict w14:anchorId="5B9BB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BD1B" w14:textId="77777777" w:rsidR="00E148DF" w:rsidRDefault="00D06864">
    <w:pPr>
      <w:pStyle w:val="stbilgi"/>
    </w:pPr>
    <w:r>
      <w:rPr>
        <w:noProof/>
      </w:rPr>
      <w:pict w14:anchorId="011BB7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C2B455"/>
    <w:multiLevelType w:val="hybridMultilevel"/>
    <w:tmpl w:val="BB8EB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25187C"/>
    <w:multiLevelType w:val="hybridMultilevel"/>
    <w:tmpl w:val="854B6FA3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5F01D8"/>
    <w:multiLevelType w:val="hybridMultilevel"/>
    <w:tmpl w:val="9B4C5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B71CA5"/>
    <w:multiLevelType w:val="hybridMultilevel"/>
    <w:tmpl w:val="0535D28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5522CE"/>
    <w:multiLevelType w:val="hybridMultilevel"/>
    <w:tmpl w:val="713E7BA9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2127FC"/>
    <w:multiLevelType w:val="hybridMultilevel"/>
    <w:tmpl w:val="CF2EAB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8F22DB"/>
    <w:multiLevelType w:val="hybridMultilevel"/>
    <w:tmpl w:val="CB4A59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43101"/>
    <w:multiLevelType w:val="hybridMultilevel"/>
    <w:tmpl w:val="4FBC7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B6801"/>
    <w:multiLevelType w:val="hybridMultilevel"/>
    <w:tmpl w:val="A03CC2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7B9FFDE"/>
    <w:multiLevelType w:val="hybridMultilevel"/>
    <w:tmpl w:val="E5F093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4A"/>
    <w:rsid w:val="00013532"/>
    <w:rsid w:val="00020242"/>
    <w:rsid w:val="00021233"/>
    <w:rsid w:val="0002680F"/>
    <w:rsid w:val="00027612"/>
    <w:rsid w:val="00031885"/>
    <w:rsid w:val="0003349E"/>
    <w:rsid w:val="00034378"/>
    <w:rsid w:val="00042AAA"/>
    <w:rsid w:val="000608B6"/>
    <w:rsid w:val="00063DF8"/>
    <w:rsid w:val="00073954"/>
    <w:rsid w:val="00082B82"/>
    <w:rsid w:val="000900D3"/>
    <w:rsid w:val="000A0AD6"/>
    <w:rsid w:val="000A425C"/>
    <w:rsid w:val="000A5E5F"/>
    <w:rsid w:val="000A75AC"/>
    <w:rsid w:val="000A7D24"/>
    <w:rsid w:val="000C3406"/>
    <w:rsid w:val="000D040F"/>
    <w:rsid w:val="000D0F33"/>
    <w:rsid w:val="000D15DD"/>
    <w:rsid w:val="000E47A3"/>
    <w:rsid w:val="000E7F65"/>
    <w:rsid w:val="000F35CD"/>
    <w:rsid w:val="001034E5"/>
    <w:rsid w:val="00104909"/>
    <w:rsid w:val="00111487"/>
    <w:rsid w:val="00116FC4"/>
    <w:rsid w:val="00120F05"/>
    <w:rsid w:val="00124C55"/>
    <w:rsid w:val="00141D0A"/>
    <w:rsid w:val="00155CF4"/>
    <w:rsid w:val="00161BE3"/>
    <w:rsid w:val="00162C0B"/>
    <w:rsid w:val="00163DB1"/>
    <w:rsid w:val="001647B2"/>
    <w:rsid w:val="0017419A"/>
    <w:rsid w:val="00180AEF"/>
    <w:rsid w:val="00187240"/>
    <w:rsid w:val="001931BA"/>
    <w:rsid w:val="0019653C"/>
    <w:rsid w:val="00197C77"/>
    <w:rsid w:val="001A31A2"/>
    <w:rsid w:val="001B32BA"/>
    <w:rsid w:val="001B3B16"/>
    <w:rsid w:val="001B4290"/>
    <w:rsid w:val="001C0909"/>
    <w:rsid w:val="001C1FB6"/>
    <w:rsid w:val="001C20A0"/>
    <w:rsid w:val="001D43B7"/>
    <w:rsid w:val="001F2A95"/>
    <w:rsid w:val="001F7F45"/>
    <w:rsid w:val="00212CC6"/>
    <w:rsid w:val="00217C95"/>
    <w:rsid w:val="00224D2D"/>
    <w:rsid w:val="0022546B"/>
    <w:rsid w:val="00270924"/>
    <w:rsid w:val="0028189D"/>
    <w:rsid w:val="00286AF8"/>
    <w:rsid w:val="002A3EB8"/>
    <w:rsid w:val="002B4457"/>
    <w:rsid w:val="002B51C7"/>
    <w:rsid w:val="002B5A09"/>
    <w:rsid w:val="002C5F4A"/>
    <w:rsid w:val="002E240A"/>
    <w:rsid w:val="002F34F3"/>
    <w:rsid w:val="002F5F0E"/>
    <w:rsid w:val="00300529"/>
    <w:rsid w:val="00306596"/>
    <w:rsid w:val="00313486"/>
    <w:rsid w:val="003178C3"/>
    <w:rsid w:val="0033081E"/>
    <w:rsid w:val="00331480"/>
    <w:rsid w:val="0033181A"/>
    <w:rsid w:val="00332E53"/>
    <w:rsid w:val="00336327"/>
    <w:rsid w:val="003416DD"/>
    <w:rsid w:val="003478FA"/>
    <w:rsid w:val="00350D31"/>
    <w:rsid w:val="00360334"/>
    <w:rsid w:val="00370FC9"/>
    <w:rsid w:val="00374715"/>
    <w:rsid w:val="003970D4"/>
    <w:rsid w:val="003B0D5F"/>
    <w:rsid w:val="003F634B"/>
    <w:rsid w:val="00400B93"/>
    <w:rsid w:val="00410BB8"/>
    <w:rsid w:val="004126FA"/>
    <w:rsid w:val="00416DEB"/>
    <w:rsid w:val="00430AFD"/>
    <w:rsid w:val="0043617D"/>
    <w:rsid w:val="004367BD"/>
    <w:rsid w:val="00441712"/>
    <w:rsid w:val="00441DC9"/>
    <w:rsid w:val="004420A0"/>
    <w:rsid w:val="00453FA1"/>
    <w:rsid w:val="0045771B"/>
    <w:rsid w:val="00463738"/>
    <w:rsid w:val="00464236"/>
    <w:rsid w:val="004653F6"/>
    <w:rsid w:val="00476DD7"/>
    <w:rsid w:val="004817FD"/>
    <w:rsid w:val="004901A7"/>
    <w:rsid w:val="004978C0"/>
    <w:rsid w:val="004A4ADA"/>
    <w:rsid w:val="004A7A09"/>
    <w:rsid w:val="004B36FC"/>
    <w:rsid w:val="004C3E1F"/>
    <w:rsid w:val="004C75DF"/>
    <w:rsid w:val="004D26DF"/>
    <w:rsid w:val="004D6FF1"/>
    <w:rsid w:val="004E45F4"/>
    <w:rsid w:val="004F58AF"/>
    <w:rsid w:val="00504322"/>
    <w:rsid w:val="00504717"/>
    <w:rsid w:val="00521213"/>
    <w:rsid w:val="005300EE"/>
    <w:rsid w:val="00530393"/>
    <w:rsid w:val="005320B1"/>
    <w:rsid w:val="005326E5"/>
    <w:rsid w:val="005348B3"/>
    <w:rsid w:val="005516CD"/>
    <w:rsid w:val="005570D9"/>
    <w:rsid w:val="00574A73"/>
    <w:rsid w:val="00580162"/>
    <w:rsid w:val="00580D76"/>
    <w:rsid w:val="005919C8"/>
    <w:rsid w:val="005A08CA"/>
    <w:rsid w:val="005A276D"/>
    <w:rsid w:val="005A357E"/>
    <w:rsid w:val="005B58B4"/>
    <w:rsid w:val="005C1A27"/>
    <w:rsid w:val="005D2065"/>
    <w:rsid w:val="005E3400"/>
    <w:rsid w:val="005F2AB2"/>
    <w:rsid w:val="00600FE3"/>
    <w:rsid w:val="0060627A"/>
    <w:rsid w:val="006226B1"/>
    <w:rsid w:val="00622916"/>
    <w:rsid w:val="00632D18"/>
    <w:rsid w:val="0063474B"/>
    <w:rsid w:val="00635DBE"/>
    <w:rsid w:val="00635F4C"/>
    <w:rsid w:val="00640078"/>
    <w:rsid w:val="0065760D"/>
    <w:rsid w:val="00662961"/>
    <w:rsid w:val="00662FA9"/>
    <w:rsid w:val="006651CD"/>
    <w:rsid w:val="00673499"/>
    <w:rsid w:val="00676A33"/>
    <w:rsid w:val="00676A8D"/>
    <w:rsid w:val="006855A4"/>
    <w:rsid w:val="006A47DF"/>
    <w:rsid w:val="006B38BF"/>
    <w:rsid w:val="006B526C"/>
    <w:rsid w:val="006B5A81"/>
    <w:rsid w:val="006C1EA8"/>
    <w:rsid w:val="006C6D8D"/>
    <w:rsid w:val="006D1E1C"/>
    <w:rsid w:val="006D1FB5"/>
    <w:rsid w:val="006E58BE"/>
    <w:rsid w:val="00702CC9"/>
    <w:rsid w:val="0072154F"/>
    <w:rsid w:val="00735DE0"/>
    <w:rsid w:val="0074450F"/>
    <w:rsid w:val="007466EB"/>
    <w:rsid w:val="007525DC"/>
    <w:rsid w:val="00755465"/>
    <w:rsid w:val="007671EC"/>
    <w:rsid w:val="00767984"/>
    <w:rsid w:val="007706BE"/>
    <w:rsid w:val="00771C3A"/>
    <w:rsid w:val="007909B4"/>
    <w:rsid w:val="007939D5"/>
    <w:rsid w:val="007962A3"/>
    <w:rsid w:val="007A0CF7"/>
    <w:rsid w:val="007A1633"/>
    <w:rsid w:val="007B3273"/>
    <w:rsid w:val="007B603F"/>
    <w:rsid w:val="007C0BAB"/>
    <w:rsid w:val="007C2657"/>
    <w:rsid w:val="007C6A50"/>
    <w:rsid w:val="007C7A92"/>
    <w:rsid w:val="007C7ED8"/>
    <w:rsid w:val="007D153D"/>
    <w:rsid w:val="007D4449"/>
    <w:rsid w:val="007D60D7"/>
    <w:rsid w:val="007E4633"/>
    <w:rsid w:val="0080186D"/>
    <w:rsid w:val="00803EE2"/>
    <w:rsid w:val="00805A98"/>
    <w:rsid w:val="0081513F"/>
    <w:rsid w:val="008165E2"/>
    <w:rsid w:val="008210BB"/>
    <w:rsid w:val="00822281"/>
    <w:rsid w:val="0082536C"/>
    <w:rsid w:val="008260D6"/>
    <w:rsid w:val="00826D17"/>
    <w:rsid w:val="0083306D"/>
    <w:rsid w:val="00833FFB"/>
    <w:rsid w:val="008345A4"/>
    <w:rsid w:val="0083469D"/>
    <w:rsid w:val="00835B9F"/>
    <w:rsid w:val="00841B5F"/>
    <w:rsid w:val="00843779"/>
    <w:rsid w:val="008629B4"/>
    <w:rsid w:val="00863E4C"/>
    <w:rsid w:val="00867426"/>
    <w:rsid w:val="00870281"/>
    <w:rsid w:val="0088323A"/>
    <w:rsid w:val="008849E4"/>
    <w:rsid w:val="00885979"/>
    <w:rsid w:val="008A5AB5"/>
    <w:rsid w:val="008D5964"/>
    <w:rsid w:val="008E3125"/>
    <w:rsid w:val="008E4BB8"/>
    <w:rsid w:val="008F6BF2"/>
    <w:rsid w:val="0091405D"/>
    <w:rsid w:val="009161BB"/>
    <w:rsid w:val="00933CA0"/>
    <w:rsid w:val="00934D45"/>
    <w:rsid w:val="009427AC"/>
    <w:rsid w:val="00943A01"/>
    <w:rsid w:val="0094594E"/>
    <w:rsid w:val="00946633"/>
    <w:rsid w:val="00950E88"/>
    <w:rsid w:val="00964BF2"/>
    <w:rsid w:val="00987763"/>
    <w:rsid w:val="009B0CB1"/>
    <w:rsid w:val="009D113F"/>
    <w:rsid w:val="009F575C"/>
    <w:rsid w:val="00A05629"/>
    <w:rsid w:val="00A064F8"/>
    <w:rsid w:val="00A075AC"/>
    <w:rsid w:val="00A1238B"/>
    <w:rsid w:val="00A162FC"/>
    <w:rsid w:val="00A2516F"/>
    <w:rsid w:val="00A324C7"/>
    <w:rsid w:val="00A34EB6"/>
    <w:rsid w:val="00A45758"/>
    <w:rsid w:val="00A52037"/>
    <w:rsid w:val="00A56F02"/>
    <w:rsid w:val="00A607D4"/>
    <w:rsid w:val="00A65FD2"/>
    <w:rsid w:val="00A67C34"/>
    <w:rsid w:val="00A714F2"/>
    <w:rsid w:val="00A72E50"/>
    <w:rsid w:val="00A737BD"/>
    <w:rsid w:val="00A856BE"/>
    <w:rsid w:val="00AB17EC"/>
    <w:rsid w:val="00AB6CE5"/>
    <w:rsid w:val="00AC6E08"/>
    <w:rsid w:val="00AE3C2B"/>
    <w:rsid w:val="00AF0D61"/>
    <w:rsid w:val="00B02AD9"/>
    <w:rsid w:val="00B07071"/>
    <w:rsid w:val="00B1143B"/>
    <w:rsid w:val="00B148C3"/>
    <w:rsid w:val="00B2650C"/>
    <w:rsid w:val="00B30CF8"/>
    <w:rsid w:val="00B41F0D"/>
    <w:rsid w:val="00B44555"/>
    <w:rsid w:val="00B46805"/>
    <w:rsid w:val="00B5246D"/>
    <w:rsid w:val="00B631E4"/>
    <w:rsid w:val="00B719BE"/>
    <w:rsid w:val="00B76CB3"/>
    <w:rsid w:val="00B82BEA"/>
    <w:rsid w:val="00B86AC9"/>
    <w:rsid w:val="00B96658"/>
    <w:rsid w:val="00BA745F"/>
    <w:rsid w:val="00BD2015"/>
    <w:rsid w:val="00BD72C5"/>
    <w:rsid w:val="00BE4B57"/>
    <w:rsid w:val="00BE589D"/>
    <w:rsid w:val="00BF0533"/>
    <w:rsid w:val="00BF5772"/>
    <w:rsid w:val="00BF7951"/>
    <w:rsid w:val="00C07BA5"/>
    <w:rsid w:val="00C201EB"/>
    <w:rsid w:val="00C2121D"/>
    <w:rsid w:val="00C221DB"/>
    <w:rsid w:val="00C23F35"/>
    <w:rsid w:val="00C254DD"/>
    <w:rsid w:val="00C31CDB"/>
    <w:rsid w:val="00C35F22"/>
    <w:rsid w:val="00C371C0"/>
    <w:rsid w:val="00C4055A"/>
    <w:rsid w:val="00C40630"/>
    <w:rsid w:val="00C42FCE"/>
    <w:rsid w:val="00C50FE7"/>
    <w:rsid w:val="00C52705"/>
    <w:rsid w:val="00C55325"/>
    <w:rsid w:val="00C6437E"/>
    <w:rsid w:val="00C74519"/>
    <w:rsid w:val="00C74967"/>
    <w:rsid w:val="00C841A2"/>
    <w:rsid w:val="00C84E9B"/>
    <w:rsid w:val="00C92740"/>
    <w:rsid w:val="00C93D66"/>
    <w:rsid w:val="00CA0825"/>
    <w:rsid w:val="00CC2403"/>
    <w:rsid w:val="00CD1D08"/>
    <w:rsid w:val="00CE196C"/>
    <w:rsid w:val="00CF4F58"/>
    <w:rsid w:val="00D06864"/>
    <w:rsid w:val="00D15BE2"/>
    <w:rsid w:val="00D16B5A"/>
    <w:rsid w:val="00D202C5"/>
    <w:rsid w:val="00D50454"/>
    <w:rsid w:val="00D6581F"/>
    <w:rsid w:val="00D75735"/>
    <w:rsid w:val="00D8303E"/>
    <w:rsid w:val="00D902E4"/>
    <w:rsid w:val="00DA1611"/>
    <w:rsid w:val="00DA4FA4"/>
    <w:rsid w:val="00DB24F5"/>
    <w:rsid w:val="00DB275D"/>
    <w:rsid w:val="00DB7923"/>
    <w:rsid w:val="00DF4049"/>
    <w:rsid w:val="00DF41D0"/>
    <w:rsid w:val="00DF4451"/>
    <w:rsid w:val="00E1413E"/>
    <w:rsid w:val="00E148DF"/>
    <w:rsid w:val="00E14EE3"/>
    <w:rsid w:val="00E26052"/>
    <w:rsid w:val="00E33B98"/>
    <w:rsid w:val="00E5108B"/>
    <w:rsid w:val="00E52F78"/>
    <w:rsid w:val="00E56F00"/>
    <w:rsid w:val="00E66EDE"/>
    <w:rsid w:val="00E7008E"/>
    <w:rsid w:val="00E73BD0"/>
    <w:rsid w:val="00E75805"/>
    <w:rsid w:val="00EA6DDA"/>
    <w:rsid w:val="00EB12C3"/>
    <w:rsid w:val="00EB4636"/>
    <w:rsid w:val="00EC367C"/>
    <w:rsid w:val="00ED069A"/>
    <w:rsid w:val="00ED41B0"/>
    <w:rsid w:val="00ED6A75"/>
    <w:rsid w:val="00EE3025"/>
    <w:rsid w:val="00EE492B"/>
    <w:rsid w:val="00EF3C08"/>
    <w:rsid w:val="00F039B7"/>
    <w:rsid w:val="00F06177"/>
    <w:rsid w:val="00F061EA"/>
    <w:rsid w:val="00F206F7"/>
    <w:rsid w:val="00F35276"/>
    <w:rsid w:val="00F37273"/>
    <w:rsid w:val="00F401E8"/>
    <w:rsid w:val="00F527B5"/>
    <w:rsid w:val="00F556CB"/>
    <w:rsid w:val="00F57B1D"/>
    <w:rsid w:val="00F652C2"/>
    <w:rsid w:val="00F67F8F"/>
    <w:rsid w:val="00F7624A"/>
    <w:rsid w:val="00F90BDB"/>
    <w:rsid w:val="00FB1A82"/>
    <w:rsid w:val="00FB2A54"/>
    <w:rsid w:val="00FD1E59"/>
    <w:rsid w:val="00FD547D"/>
    <w:rsid w:val="00FE0BD2"/>
    <w:rsid w:val="00FF082B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142B92"/>
  <w15:chartTrackingRefBased/>
  <w15:docId w15:val="{09AADDED-535E-4ED6-AC8A-E5A82CB7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2C5F4A"/>
  </w:style>
  <w:style w:type="character" w:customStyle="1" w:styleId="spelle">
    <w:name w:val="spelle"/>
    <w:basedOn w:val="VarsaylanParagrafYazTipi"/>
    <w:rsid w:val="002C5F4A"/>
  </w:style>
  <w:style w:type="paragraph" w:customStyle="1" w:styleId="default">
    <w:name w:val="default"/>
    <w:basedOn w:val="Normal"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0">
    <w:name w:val="Default"/>
    <w:rsid w:val="00DB2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E3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j-normal">
    <w:name w:val="oj-normal"/>
    <w:basedOn w:val="Normal"/>
    <w:rsid w:val="0044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48DF"/>
  </w:style>
  <w:style w:type="paragraph" w:styleId="Altbilgi">
    <w:name w:val="footer"/>
    <w:basedOn w:val="Normal"/>
    <w:link w:val="AltbilgiChar"/>
    <w:uiPriority w:val="99"/>
    <w:unhideWhenUsed/>
    <w:rsid w:val="00E1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48DF"/>
  </w:style>
  <w:style w:type="character" w:styleId="Gl">
    <w:name w:val="Strong"/>
    <w:basedOn w:val="VarsaylanParagrafYazTipi"/>
    <w:uiPriority w:val="22"/>
    <w:qFormat/>
    <w:rsid w:val="00833FF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833F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33FF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33FFB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A4FA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17D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3178C3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A064F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6089-85C9-46E5-8099-D162BE75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USLU</dc:creator>
  <cp:keywords/>
  <dc:description/>
  <cp:lastModifiedBy>Microsoft hesabı</cp:lastModifiedBy>
  <cp:revision>3</cp:revision>
  <dcterms:created xsi:type="dcterms:W3CDTF">2026-03-31T12:10:00Z</dcterms:created>
  <dcterms:modified xsi:type="dcterms:W3CDTF">2026-03-31T12:10:00Z</dcterms:modified>
</cp:coreProperties>
</file>