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3E466" w14:textId="063E4C33" w:rsidR="004F4193" w:rsidRDefault="0060236A" w:rsidP="00F134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A53F6">
        <w:rPr>
          <w:rFonts w:ascii="Times New Roman" w:hAnsi="Times New Roman" w:cs="Times New Roman"/>
          <w:b/>
          <w:sz w:val="24"/>
          <w:szCs w:val="24"/>
        </w:rPr>
        <w:t>DESTEKLENECEK DANIŞMANLIKLAR LİSTESİ</w:t>
      </w:r>
    </w:p>
    <w:p w14:paraId="41BCF937" w14:textId="77777777" w:rsidR="002D0160" w:rsidRPr="00FA53F6" w:rsidRDefault="002D0160" w:rsidP="00F134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7"/>
        <w:gridCol w:w="1255"/>
        <w:gridCol w:w="2859"/>
        <w:gridCol w:w="5056"/>
      </w:tblGrid>
      <w:tr w:rsidR="00FA53F6" w:rsidRPr="00FA53F6" w14:paraId="38C341F0" w14:textId="4A3F9FF4" w:rsidTr="00FF4BC6">
        <w:trPr>
          <w:trHeight w:val="528"/>
        </w:trPr>
        <w:tc>
          <w:tcPr>
            <w:tcW w:w="5000" w:type="pct"/>
            <w:gridSpan w:val="4"/>
          </w:tcPr>
          <w:p w14:paraId="05E83341" w14:textId="55B1B8EE" w:rsidR="00733459" w:rsidRPr="00FA53F6" w:rsidRDefault="00733459" w:rsidP="00FF4BC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b/>
                <w:sz w:val="24"/>
                <w:szCs w:val="24"/>
              </w:rPr>
              <w:t>UYGULAMA DANIŞMANLIĞI</w:t>
            </w:r>
          </w:p>
        </w:tc>
      </w:tr>
      <w:tr w:rsidR="002D0160" w:rsidRPr="00FA53F6" w14:paraId="52236989" w14:textId="77777777" w:rsidTr="00FF4BC6">
        <w:trPr>
          <w:trHeight w:val="528"/>
        </w:trPr>
        <w:tc>
          <w:tcPr>
            <w:tcW w:w="5000" w:type="pct"/>
            <w:gridSpan w:val="4"/>
          </w:tcPr>
          <w:p w14:paraId="3B0D8ADB" w14:textId="77777777" w:rsidR="002D0160" w:rsidRDefault="002D0160" w:rsidP="002D01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9D543E" w14:textId="56A60B54" w:rsidR="002D0160" w:rsidRDefault="002D0160" w:rsidP="002D01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a. Uygulama Danışmanlığı tablosunda “Kapsam” sütununda belirtilen konulara ilişkin;</w:t>
            </w:r>
          </w:p>
          <w:p w14:paraId="1E3D8023" w14:textId="77777777" w:rsidR="002D0160" w:rsidRPr="002D0160" w:rsidRDefault="002D0160" w:rsidP="007D01A3">
            <w:pPr>
              <w:pStyle w:val="ListeParagraf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160">
              <w:rPr>
                <w:rFonts w:ascii="Times New Roman" w:hAnsi="Times New Roman" w:cs="Times New Roman"/>
                <w:sz w:val="24"/>
                <w:szCs w:val="24"/>
              </w:rPr>
              <w:t>Parametrelerin belirlenmesi, ölçümü, verilerin toplanması, raporlanması ve takibi,</w:t>
            </w:r>
          </w:p>
          <w:p w14:paraId="372B47E8" w14:textId="55F11EF5" w:rsidR="002D0160" w:rsidRPr="002D0160" w:rsidRDefault="002D0160" w:rsidP="007D01A3">
            <w:pPr>
              <w:pStyle w:val="ListeParagraf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160">
              <w:rPr>
                <w:rFonts w:ascii="Times New Roman" w:hAnsi="Times New Roman" w:cs="Times New Roman"/>
                <w:sz w:val="24"/>
                <w:szCs w:val="24"/>
              </w:rPr>
              <w:t>Politika oluşturulması, uygulanması ve buna yönelik kurumsal kapasitenin geliştirilmesi,</w:t>
            </w:r>
          </w:p>
          <w:p w14:paraId="12725D96" w14:textId="77777777" w:rsidR="002D0160" w:rsidRDefault="002D0160" w:rsidP="002D0160">
            <w:pPr>
              <w:pStyle w:val="ListeParagraf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AB Yeşil Mutabakatı ile ilgili ulusal ve uluslararası mevzuata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ihracat 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müşteri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nin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 taleplerine yönelik gerekliliklere uyum sağlanması</w:t>
            </w:r>
          </w:p>
          <w:p w14:paraId="42179EE9" w14:textId="77777777" w:rsidR="002D0160" w:rsidRPr="00FA53F6" w:rsidRDefault="002D0160" w:rsidP="002D0160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C3FB2" w14:textId="11646E9A" w:rsidR="00334E22" w:rsidRDefault="00334E22" w:rsidP="002D0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D0160" w:rsidRPr="00FA53F6">
              <w:rPr>
                <w:rFonts w:ascii="Times New Roman" w:hAnsi="Times New Roman" w:cs="Times New Roman"/>
                <w:sz w:val="24"/>
                <w:szCs w:val="24"/>
              </w:rPr>
              <w:t>onular</w:t>
            </w:r>
            <w:r w:rsidR="002D0160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="002D0160" w:rsidRPr="00FA53F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160" w:rsidRPr="00FA53F6">
              <w:rPr>
                <w:rFonts w:ascii="Times New Roman" w:hAnsi="Times New Roman" w:cs="Times New Roman"/>
                <w:sz w:val="24"/>
                <w:szCs w:val="24"/>
              </w:rPr>
              <w:t>ilişkin danışmanlık, teknik ve/veya finansal fizibilite danışmanlığı ve kontrol/doğrulama/raporlama</w:t>
            </w:r>
            <w:r w:rsidR="002D0160">
              <w:rPr>
                <w:rFonts w:ascii="Times New Roman" w:hAnsi="Times New Roman" w:cs="Times New Roman"/>
                <w:sz w:val="24"/>
                <w:szCs w:val="24"/>
              </w:rPr>
              <w:t xml:space="preserve"> faaliyet ve harcamaları desteklenebilir.</w:t>
            </w:r>
          </w:p>
          <w:p w14:paraId="116DF833" w14:textId="77777777" w:rsidR="002D0160" w:rsidRDefault="002D0160" w:rsidP="002D0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A460C" w14:textId="1E07E547" w:rsidR="002D0160" w:rsidRDefault="002D0160" w:rsidP="002D0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“Kapsam”a ilişkin örnek teşkil eden faaliyetlere “İçerik” sütununda yer verilmiştir.  </w:t>
            </w:r>
          </w:p>
          <w:p w14:paraId="399988D7" w14:textId="77777777" w:rsidR="002D0160" w:rsidRPr="00FA53F6" w:rsidRDefault="002D0160" w:rsidP="00E46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3F6" w:rsidRPr="00FA53F6" w14:paraId="2496766F" w14:textId="77777777" w:rsidTr="0037757C">
        <w:trPr>
          <w:trHeight w:val="671"/>
        </w:trPr>
        <w:tc>
          <w:tcPr>
            <w:tcW w:w="237" w:type="pct"/>
          </w:tcPr>
          <w:p w14:paraId="7DF30B74" w14:textId="77777777" w:rsidR="00AF513C" w:rsidRPr="00FA53F6" w:rsidRDefault="00AF513C" w:rsidP="00AF51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pct"/>
          </w:tcPr>
          <w:p w14:paraId="700B5B92" w14:textId="63055246" w:rsidR="00AF513C" w:rsidRPr="00FA53F6" w:rsidRDefault="00AF513C" w:rsidP="00AF51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b/>
                <w:sz w:val="24"/>
                <w:szCs w:val="24"/>
              </w:rPr>
              <w:t>Odak Alanı</w:t>
            </w:r>
          </w:p>
        </w:tc>
        <w:tc>
          <w:tcPr>
            <w:tcW w:w="1485" w:type="pct"/>
          </w:tcPr>
          <w:p w14:paraId="7EC4E8BF" w14:textId="5E3221A4" w:rsidR="00AF513C" w:rsidRPr="00FA53F6" w:rsidRDefault="00AF513C" w:rsidP="00AF5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b/>
                <w:sz w:val="24"/>
                <w:szCs w:val="24"/>
              </w:rPr>
              <w:t>Kapsam</w:t>
            </w:r>
          </w:p>
        </w:tc>
        <w:tc>
          <w:tcPr>
            <w:tcW w:w="2626" w:type="pct"/>
          </w:tcPr>
          <w:p w14:paraId="6321D933" w14:textId="44418517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b/>
                <w:sz w:val="24"/>
                <w:szCs w:val="24"/>
              </w:rPr>
              <w:t>İçerik</w:t>
            </w:r>
          </w:p>
        </w:tc>
      </w:tr>
      <w:tr w:rsidR="00FA53F6" w:rsidRPr="00FA53F6" w14:paraId="3B2AF2A9" w14:textId="1593569E" w:rsidTr="0037757C">
        <w:trPr>
          <w:trHeight w:val="252"/>
        </w:trPr>
        <w:tc>
          <w:tcPr>
            <w:tcW w:w="237" w:type="pct"/>
          </w:tcPr>
          <w:p w14:paraId="7515C2F4" w14:textId="043C8CB7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pct"/>
          </w:tcPr>
          <w:p w14:paraId="5286EDB9" w14:textId="26571037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Çevre</w:t>
            </w:r>
          </w:p>
        </w:tc>
        <w:tc>
          <w:tcPr>
            <w:tcW w:w="1485" w:type="pct"/>
          </w:tcPr>
          <w:p w14:paraId="1D5AB052" w14:textId="710FC309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Genel Çevre Yönetimi</w:t>
            </w:r>
          </w:p>
        </w:tc>
        <w:tc>
          <w:tcPr>
            <w:tcW w:w="2626" w:type="pct"/>
          </w:tcPr>
          <w:p w14:paraId="07B4998E" w14:textId="57093A11" w:rsidR="00FA53F6" w:rsidRDefault="00AF513C" w:rsidP="00FA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Çevre Yönetim Sistemi</w:t>
            </w:r>
            <w:r w:rsidR="00216A1B"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</w:p>
          <w:p w14:paraId="506EB487" w14:textId="0EAFB99E" w:rsidR="00FA53F6" w:rsidRPr="00FA53F6" w:rsidRDefault="00FA53F6" w:rsidP="00FA5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1B53ED19" w14:textId="421083AC" w:rsidTr="0037757C">
        <w:trPr>
          <w:trHeight w:val="263"/>
        </w:trPr>
        <w:tc>
          <w:tcPr>
            <w:tcW w:w="237" w:type="pct"/>
          </w:tcPr>
          <w:p w14:paraId="108818B4" w14:textId="21EEE807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pct"/>
          </w:tcPr>
          <w:p w14:paraId="74EDBAB9" w14:textId="5EE4F496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Çevre</w:t>
            </w:r>
          </w:p>
        </w:tc>
        <w:tc>
          <w:tcPr>
            <w:tcW w:w="1485" w:type="pct"/>
          </w:tcPr>
          <w:p w14:paraId="5F214B55" w14:textId="6BB27DAB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Atık Yönetimi ve Döngüsel Ekonomi</w:t>
            </w:r>
          </w:p>
        </w:tc>
        <w:tc>
          <w:tcPr>
            <w:tcW w:w="2626" w:type="pct"/>
          </w:tcPr>
          <w:p w14:paraId="08AA1BAA" w14:textId="18057BFD" w:rsidR="00AF513C" w:rsidRDefault="00216A1B" w:rsidP="00FA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F513C" w:rsidRPr="00FA53F6">
              <w:rPr>
                <w:rFonts w:ascii="Times New Roman" w:hAnsi="Times New Roman" w:cs="Times New Roman"/>
                <w:sz w:val="24"/>
                <w:szCs w:val="24"/>
              </w:rPr>
              <w:t>ıfır atık yönetimi, tehlikeli atık yönetimi, geri dönüşüm, tek kullanımlık plastik tüketimi, döngüsel ekonomi, atık azaltımı vb.</w:t>
            </w:r>
          </w:p>
          <w:p w14:paraId="0E983527" w14:textId="1668093C" w:rsidR="00FA53F6" w:rsidRPr="00FA53F6" w:rsidRDefault="00FA53F6" w:rsidP="00FA5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60E3E50C" w14:textId="003BE094" w:rsidTr="0037757C">
        <w:trPr>
          <w:trHeight w:val="263"/>
        </w:trPr>
        <w:tc>
          <w:tcPr>
            <w:tcW w:w="237" w:type="pct"/>
          </w:tcPr>
          <w:p w14:paraId="3A2AF961" w14:textId="09CFCC91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" w:type="pct"/>
          </w:tcPr>
          <w:p w14:paraId="2971E789" w14:textId="50286EAE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</w:p>
        </w:tc>
        <w:tc>
          <w:tcPr>
            <w:tcW w:w="1485" w:type="pct"/>
          </w:tcPr>
          <w:p w14:paraId="11CC2CEB" w14:textId="50DBCBEB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Sürdürülebilir Ürün ve Hizmetler</w:t>
            </w:r>
          </w:p>
        </w:tc>
        <w:tc>
          <w:tcPr>
            <w:tcW w:w="2626" w:type="pct"/>
          </w:tcPr>
          <w:p w14:paraId="6C9FA305" w14:textId="79AAFFFD" w:rsidR="00AF513C" w:rsidRPr="00FA53F6" w:rsidRDefault="00216A1B" w:rsidP="00FA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AF513C" w:rsidRPr="00FA53F6">
              <w:rPr>
                <w:rFonts w:ascii="Times New Roman" w:hAnsi="Times New Roman" w:cs="Times New Roman"/>
                <w:sz w:val="24"/>
                <w:szCs w:val="24"/>
              </w:rPr>
              <w:t>rünlerin çevresel etkilerinin azaltılması,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3R</w:t>
            </w:r>
            <w:r w:rsidR="00AF513C"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 kullanım ömrünün artırılması, yeniden kullanımı veya geri dönüşümüne yönelik tasarım, uygulama, ar-ge, ür-ge, test, kontrol, etiketleme vb.</w:t>
            </w:r>
          </w:p>
          <w:p w14:paraId="14234537" w14:textId="4AC3EC4E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24C7C226" w14:textId="28231258" w:rsidTr="0037757C">
        <w:trPr>
          <w:trHeight w:val="263"/>
        </w:trPr>
        <w:tc>
          <w:tcPr>
            <w:tcW w:w="237" w:type="pct"/>
          </w:tcPr>
          <w:p w14:paraId="30CBAE80" w14:textId="03E79DC9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" w:type="pct"/>
          </w:tcPr>
          <w:p w14:paraId="68ADC0F8" w14:textId="1DADD4DC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</w:p>
        </w:tc>
        <w:tc>
          <w:tcPr>
            <w:tcW w:w="1485" w:type="pct"/>
          </w:tcPr>
          <w:p w14:paraId="6CD0E400" w14:textId="567982A8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Ambalaj ve Paketleme Yönetimi</w:t>
            </w:r>
          </w:p>
        </w:tc>
        <w:tc>
          <w:tcPr>
            <w:tcW w:w="2626" w:type="pct"/>
          </w:tcPr>
          <w:p w14:paraId="171F6D4D" w14:textId="45567E8E" w:rsidR="00AF513C" w:rsidRPr="00415124" w:rsidRDefault="00AF513C" w:rsidP="00415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124">
              <w:rPr>
                <w:rFonts w:ascii="Times New Roman" w:hAnsi="Times New Roman" w:cs="Times New Roman"/>
                <w:sz w:val="24"/>
                <w:szCs w:val="24"/>
              </w:rPr>
              <w:t>Ambalaj atıklarının azaltımı, geri kullanımı, geri dönüşümü; geri dönüştürülmüş içerikli ambalaj kullanımı, sürdürülebilir ambalaj ve paketlemeye yönelik etiketleme</w:t>
            </w:r>
            <w:r w:rsidR="00415124"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</w:p>
          <w:p w14:paraId="64838720" w14:textId="2241DBAA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3497EB41" w14:textId="24E3BBC8" w:rsidTr="0037757C">
        <w:trPr>
          <w:trHeight w:val="263"/>
        </w:trPr>
        <w:tc>
          <w:tcPr>
            <w:tcW w:w="237" w:type="pct"/>
          </w:tcPr>
          <w:p w14:paraId="360C9B46" w14:textId="679CE9F4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" w:type="pct"/>
          </w:tcPr>
          <w:p w14:paraId="6387DD70" w14:textId="10F22F48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Çevre</w:t>
            </w:r>
          </w:p>
        </w:tc>
        <w:tc>
          <w:tcPr>
            <w:tcW w:w="1485" w:type="pct"/>
          </w:tcPr>
          <w:p w14:paraId="6E46FE55" w14:textId="365A5024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Su ve Atık Su Yönetimi</w:t>
            </w:r>
          </w:p>
        </w:tc>
        <w:tc>
          <w:tcPr>
            <w:tcW w:w="2626" w:type="pct"/>
          </w:tcPr>
          <w:p w14:paraId="420842F9" w14:textId="65183062" w:rsidR="00AF513C" w:rsidRPr="00C1309C" w:rsidRDefault="00AF513C" w:rsidP="00415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09C">
              <w:rPr>
                <w:rFonts w:ascii="Times New Roman" w:hAnsi="Times New Roman" w:cs="Times New Roman"/>
                <w:sz w:val="24"/>
                <w:szCs w:val="24"/>
              </w:rPr>
              <w:t>Su tüketiminin azaltımı, atık suyun ölçülmesi, arıtımı ve yeninden kullanımı;</w:t>
            </w:r>
            <w:r w:rsidR="00415124" w:rsidRPr="00C1309C">
              <w:rPr>
                <w:rFonts w:ascii="Times New Roman" w:hAnsi="Times New Roman" w:cs="Times New Roman"/>
                <w:sz w:val="24"/>
                <w:szCs w:val="24"/>
              </w:rPr>
              <w:t xml:space="preserve"> y</w:t>
            </w:r>
            <w:r w:rsidRPr="00C1309C">
              <w:rPr>
                <w:rFonts w:ascii="Times New Roman" w:hAnsi="Times New Roman" w:cs="Times New Roman"/>
                <w:sz w:val="24"/>
                <w:szCs w:val="24"/>
              </w:rPr>
              <w:t>ağmur suyu ve gri su kullanımı</w:t>
            </w:r>
            <w:r w:rsidR="00415124" w:rsidRPr="00C1309C">
              <w:rPr>
                <w:rFonts w:ascii="Times New Roman" w:hAnsi="Times New Roman" w:cs="Times New Roman"/>
                <w:sz w:val="24"/>
                <w:szCs w:val="24"/>
              </w:rPr>
              <w:t>; s</w:t>
            </w:r>
            <w:r w:rsidRPr="00C1309C">
              <w:rPr>
                <w:rFonts w:ascii="Times New Roman" w:hAnsi="Times New Roman" w:cs="Times New Roman"/>
                <w:sz w:val="24"/>
                <w:szCs w:val="24"/>
              </w:rPr>
              <w:t>u ayak izinin hesaplanması</w:t>
            </w:r>
            <w:r w:rsidR="009F6BD6" w:rsidRPr="00C1309C">
              <w:rPr>
                <w:rFonts w:ascii="Times New Roman" w:hAnsi="Times New Roman" w:cs="Times New Roman"/>
                <w:sz w:val="24"/>
                <w:szCs w:val="24"/>
              </w:rPr>
              <w:t>, doğrulanması,</w:t>
            </w:r>
            <w:r w:rsidRPr="00C1309C">
              <w:rPr>
                <w:rFonts w:ascii="Times New Roman" w:hAnsi="Times New Roman" w:cs="Times New Roman"/>
                <w:sz w:val="24"/>
                <w:szCs w:val="24"/>
              </w:rPr>
              <w:t xml:space="preserve"> rapo</w:t>
            </w:r>
            <w:r w:rsidR="009F6BD6" w:rsidRPr="00C1309C">
              <w:rPr>
                <w:rFonts w:ascii="Times New Roman" w:hAnsi="Times New Roman" w:cs="Times New Roman"/>
                <w:sz w:val="24"/>
                <w:szCs w:val="24"/>
              </w:rPr>
              <w:t>rlanması, takibi vb.</w:t>
            </w:r>
          </w:p>
          <w:p w14:paraId="4FA7A360" w14:textId="5394C693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7E864B6D" w14:textId="6D336ACC" w:rsidTr="0037757C">
        <w:trPr>
          <w:trHeight w:val="263"/>
        </w:trPr>
        <w:tc>
          <w:tcPr>
            <w:tcW w:w="237" w:type="pct"/>
          </w:tcPr>
          <w:p w14:paraId="4A66728B" w14:textId="09C82FDA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" w:type="pct"/>
          </w:tcPr>
          <w:p w14:paraId="446E5388" w14:textId="1CAD9629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Çevre</w:t>
            </w:r>
          </w:p>
        </w:tc>
        <w:tc>
          <w:tcPr>
            <w:tcW w:w="1485" w:type="pct"/>
          </w:tcPr>
          <w:p w14:paraId="578759A1" w14:textId="2D821BA0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İklim Değişikliği ve İklim Odaklı Riskler</w:t>
            </w:r>
          </w:p>
        </w:tc>
        <w:tc>
          <w:tcPr>
            <w:tcW w:w="2626" w:type="pct"/>
          </w:tcPr>
          <w:p w14:paraId="6EA265F9" w14:textId="2F2F4893" w:rsidR="00AF513C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09C">
              <w:rPr>
                <w:rFonts w:ascii="Times New Roman" w:hAnsi="Times New Roman" w:cs="Times New Roman"/>
                <w:sz w:val="24"/>
                <w:szCs w:val="24"/>
              </w:rPr>
              <w:t xml:space="preserve">Karbon </w:t>
            </w:r>
            <w:r w:rsidR="00894FEE">
              <w:rPr>
                <w:rFonts w:ascii="Times New Roman" w:hAnsi="Times New Roman" w:cs="Times New Roman"/>
                <w:sz w:val="24"/>
                <w:szCs w:val="24"/>
              </w:rPr>
              <w:t xml:space="preserve">ayak </w:t>
            </w:r>
            <w:r w:rsidRPr="00C1309C">
              <w:rPr>
                <w:rFonts w:ascii="Times New Roman" w:hAnsi="Times New Roman" w:cs="Times New Roman"/>
                <w:sz w:val="24"/>
                <w:szCs w:val="24"/>
              </w:rPr>
              <w:t xml:space="preserve">izinin hesaplanması, </w:t>
            </w:r>
            <w:r w:rsidR="00DB7EAA" w:rsidRPr="00C1309C">
              <w:rPr>
                <w:rFonts w:ascii="Times New Roman" w:hAnsi="Times New Roman" w:cs="Times New Roman"/>
                <w:sz w:val="24"/>
                <w:szCs w:val="24"/>
              </w:rPr>
              <w:t>doğrulanması, raporlanması, takibi</w:t>
            </w:r>
            <w:r w:rsidR="00DB7E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B7EAA" w:rsidRPr="00C1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09C">
              <w:rPr>
                <w:rFonts w:ascii="Times New Roman" w:hAnsi="Times New Roman" w:cs="Times New Roman"/>
                <w:sz w:val="24"/>
                <w:szCs w:val="24"/>
              </w:rPr>
              <w:t>karbonsuzlaşma yol haritası, iklim odaklı risk yönetimi, Bilim Tabanlı Hedefler (SBTİ), emisyon ve emisyon yoğunluğu</w:t>
            </w:r>
            <w:r w:rsidR="002F3E76">
              <w:rPr>
                <w:rFonts w:ascii="Times New Roman" w:hAnsi="Times New Roman" w:cs="Times New Roman"/>
                <w:sz w:val="24"/>
                <w:szCs w:val="24"/>
              </w:rPr>
              <w:t>nun</w:t>
            </w:r>
            <w:r w:rsidRPr="00C1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E76">
              <w:rPr>
                <w:rFonts w:ascii="Times New Roman" w:hAnsi="Times New Roman" w:cs="Times New Roman"/>
                <w:sz w:val="24"/>
                <w:szCs w:val="24"/>
              </w:rPr>
              <w:t>azaltımı;</w:t>
            </w:r>
            <w:r w:rsidR="002F3E76" w:rsidRPr="002F3E76">
              <w:rPr>
                <w:rFonts w:ascii="Times New Roman" w:hAnsi="Times New Roman" w:cs="Times New Roman"/>
                <w:sz w:val="24"/>
                <w:szCs w:val="24"/>
              </w:rPr>
              <w:t xml:space="preserve"> Sınırda Karbon Düzenleme Mekanizması, y</w:t>
            </w:r>
            <w:r w:rsidRPr="002F3E76">
              <w:rPr>
                <w:rFonts w:ascii="Times New Roman" w:hAnsi="Times New Roman" w:cs="Times New Roman"/>
                <w:sz w:val="24"/>
                <w:szCs w:val="24"/>
              </w:rPr>
              <w:t xml:space="preserve">eşil </w:t>
            </w:r>
            <w:r w:rsidR="002F3E76" w:rsidRPr="002F3E7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2F3E76">
              <w:rPr>
                <w:rFonts w:ascii="Times New Roman" w:hAnsi="Times New Roman" w:cs="Times New Roman"/>
                <w:sz w:val="24"/>
                <w:szCs w:val="24"/>
              </w:rPr>
              <w:t>ina</w:t>
            </w:r>
            <w:r w:rsidR="002F3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vb. </w:t>
            </w:r>
          </w:p>
          <w:p w14:paraId="6894F48A" w14:textId="7B9D8D31" w:rsidR="002F3E76" w:rsidRPr="00FA53F6" w:rsidRDefault="002F3E76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50B31A5A" w14:textId="357649A5" w:rsidTr="0037757C">
        <w:trPr>
          <w:trHeight w:val="252"/>
        </w:trPr>
        <w:tc>
          <w:tcPr>
            <w:tcW w:w="237" w:type="pct"/>
          </w:tcPr>
          <w:p w14:paraId="113F075B" w14:textId="5FE07B7C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" w:type="pct"/>
          </w:tcPr>
          <w:p w14:paraId="67B982F8" w14:textId="57451B8E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</w:p>
        </w:tc>
        <w:tc>
          <w:tcPr>
            <w:tcW w:w="1485" w:type="pct"/>
          </w:tcPr>
          <w:p w14:paraId="52E25A68" w14:textId="5B6B2161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Temiz Teknolojiye Erişim</w:t>
            </w:r>
          </w:p>
        </w:tc>
        <w:tc>
          <w:tcPr>
            <w:tcW w:w="2626" w:type="pct"/>
          </w:tcPr>
          <w:p w14:paraId="4F7B0C30" w14:textId="0EE14156" w:rsidR="002F3E7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E76">
              <w:rPr>
                <w:rFonts w:ascii="Times New Roman" w:hAnsi="Times New Roman" w:cs="Times New Roman"/>
                <w:sz w:val="24"/>
                <w:szCs w:val="24"/>
              </w:rPr>
              <w:t>Karbon yakalama, depolama ve kullanma</w:t>
            </w:r>
            <w:r w:rsidR="002F3E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F3E76">
              <w:rPr>
                <w:rFonts w:ascii="Times New Roman" w:hAnsi="Times New Roman" w:cs="Times New Roman"/>
                <w:sz w:val="24"/>
                <w:szCs w:val="24"/>
              </w:rPr>
              <w:t xml:space="preserve"> yenilenebilir enerji, temiz enerji</w:t>
            </w:r>
            <w:r w:rsidR="002F3E76">
              <w:rPr>
                <w:rFonts w:ascii="Times New Roman" w:hAnsi="Times New Roman" w:cs="Times New Roman"/>
                <w:sz w:val="24"/>
                <w:szCs w:val="24"/>
              </w:rPr>
              <w:t>, temiz teknoloji vb.</w:t>
            </w:r>
          </w:p>
          <w:p w14:paraId="15F40DEB" w14:textId="530418F7" w:rsidR="002F3E76" w:rsidRPr="00FA53F6" w:rsidRDefault="002F3E76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459CCAE8" w14:textId="4EC6B514" w:rsidTr="0037757C">
        <w:trPr>
          <w:trHeight w:val="263"/>
        </w:trPr>
        <w:tc>
          <w:tcPr>
            <w:tcW w:w="237" w:type="pct"/>
          </w:tcPr>
          <w:p w14:paraId="2A3D5E00" w14:textId="41EE3437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52" w:type="pct"/>
          </w:tcPr>
          <w:p w14:paraId="0325BCAC" w14:textId="3A09EFB2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Çevre</w:t>
            </w:r>
          </w:p>
        </w:tc>
        <w:tc>
          <w:tcPr>
            <w:tcW w:w="1485" w:type="pct"/>
          </w:tcPr>
          <w:p w14:paraId="59C3BFAA" w14:textId="01BBB61D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Ürün Yaşam Döngüsü</w:t>
            </w:r>
          </w:p>
        </w:tc>
        <w:tc>
          <w:tcPr>
            <w:tcW w:w="2626" w:type="pct"/>
          </w:tcPr>
          <w:p w14:paraId="33D43A1F" w14:textId="0C62D410" w:rsidR="00AF513C" w:rsidRPr="002F3E76" w:rsidRDefault="002F3E76" w:rsidP="002F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Ürünlerin çevresel etkilerinin ölçülmesi, takibi, raporlanması, azaltımı; y</w:t>
            </w:r>
            <w:r w:rsidR="00AF513C" w:rsidRPr="002F3E76">
              <w:rPr>
                <w:rFonts w:ascii="Times New Roman" w:hAnsi="Times New Roman" w:cs="Times New Roman"/>
                <w:sz w:val="24"/>
                <w:szCs w:val="24"/>
              </w:rPr>
              <w:t>aşam döngüsü değerlendirme (YDD/LCA), değer zinciri analizi, çevresel ürün beyanı, eko-etiket;</w:t>
            </w:r>
            <w:r w:rsidRPr="002F3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13C" w:rsidRPr="002F3E76">
              <w:rPr>
                <w:rFonts w:ascii="Times New Roman" w:hAnsi="Times New Roman" w:cs="Times New Roman"/>
                <w:sz w:val="24"/>
                <w:szCs w:val="24"/>
              </w:rPr>
              <w:t>Dijital Ürün Pasaportu (DÜP/DPP)</w:t>
            </w:r>
            <w:r w:rsidRPr="002F3E76">
              <w:rPr>
                <w:rFonts w:ascii="Times New Roman" w:hAnsi="Times New Roman" w:cs="Times New Roman"/>
                <w:sz w:val="24"/>
                <w:szCs w:val="24"/>
              </w:rPr>
              <w:t>, ç</w:t>
            </w:r>
            <w:r w:rsidR="00AF513C" w:rsidRPr="002F3E76">
              <w:rPr>
                <w:rFonts w:ascii="Times New Roman" w:hAnsi="Times New Roman" w:cs="Times New Roman"/>
                <w:sz w:val="24"/>
                <w:szCs w:val="24"/>
              </w:rPr>
              <w:t xml:space="preserve">evresel </w:t>
            </w:r>
            <w:r w:rsidRPr="002F3E76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AF513C" w:rsidRPr="002F3E76">
              <w:rPr>
                <w:rFonts w:ascii="Times New Roman" w:hAnsi="Times New Roman" w:cs="Times New Roman"/>
                <w:sz w:val="24"/>
                <w:szCs w:val="24"/>
              </w:rPr>
              <w:t xml:space="preserve">rün </w:t>
            </w:r>
            <w:r w:rsidRPr="002F3E7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AF513C" w:rsidRPr="002F3E76">
              <w:rPr>
                <w:rFonts w:ascii="Times New Roman" w:hAnsi="Times New Roman" w:cs="Times New Roman"/>
                <w:sz w:val="24"/>
                <w:szCs w:val="24"/>
              </w:rPr>
              <w:t>eyanı</w:t>
            </w:r>
            <w:r w:rsidRPr="002F3E76"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</w:p>
          <w:p w14:paraId="381DAFC2" w14:textId="466E2A07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4FDEBA96" w14:textId="65EC8A1A" w:rsidTr="0037757C">
        <w:trPr>
          <w:trHeight w:val="263"/>
        </w:trPr>
        <w:tc>
          <w:tcPr>
            <w:tcW w:w="237" w:type="pct"/>
          </w:tcPr>
          <w:p w14:paraId="6FD3E199" w14:textId="6A55F898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" w:type="pct"/>
          </w:tcPr>
          <w:p w14:paraId="50E00DC2" w14:textId="0F4BF3C7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Çevre</w:t>
            </w:r>
          </w:p>
        </w:tc>
        <w:tc>
          <w:tcPr>
            <w:tcW w:w="1485" w:type="pct"/>
          </w:tcPr>
          <w:p w14:paraId="3E7CABFC" w14:textId="356A33E2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Enerji Yönetimi</w:t>
            </w:r>
          </w:p>
        </w:tc>
        <w:tc>
          <w:tcPr>
            <w:tcW w:w="2626" w:type="pct"/>
          </w:tcPr>
          <w:p w14:paraId="3FB5B155" w14:textId="77777777" w:rsidR="00AF513C" w:rsidRDefault="002F3E76" w:rsidP="0061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Enerji verimliliği, enerji yönetimi, t</w:t>
            </w:r>
            <w:r w:rsidR="00AF513C" w:rsidRPr="002F3E76">
              <w:rPr>
                <w:rFonts w:ascii="Times New Roman" w:hAnsi="Times New Roman" w:cs="Times New Roman"/>
                <w:sz w:val="24"/>
                <w:szCs w:val="24"/>
              </w:rPr>
              <w:t>esis ve süreç optimizasyonu, yenilenebilir enerji, sürdürülebilir enerji</w:t>
            </w:r>
            <w:r w:rsidR="006113FD"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</w:p>
          <w:p w14:paraId="3E7B057A" w14:textId="5A4AE526" w:rsidR="006113FD" w:rsidRPr="00FA53F6" w:rsidRDefault="006113FD" w:rsidP="0061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28EA7F01" w14:textId="108DE0BB" w:rsidTr="0037757C">
        <w:trPr>
          <w:trHeight w:val="263"/>
        </w:trPr>
        <w:tc>
          <w:tcPr>
            <w:tcW w:w="237" w:type="pct"/>
          </w:tcPr>
          <w:p w14:paraId="61BFC227" w14:textId="441B8575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" w:type="pct"/>
          </w:tcPr>
          <w:p w14:paraId="268C5023" w14:textId="2E828F49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</w:p>
        </w:tc>
        <w:tc>
          <w:tcPr>
            <w:tcW w:w="1485" w:type="pct"/>
          </w:tcPr>
          <w:p w14:paraId="6FEB1751" w14:textId="4ECF9B8F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Kirlilik</w:t>
            </w:r>
          </w:p>
        </w:tc>
        <w:tc>
          <w:tcPr>
            <w:tcW w:w="2626" w:type="pct"/>
          </w:tcPr>
          <w:p w14:paraId="400F2C80" w14:textId="3762C189" w:rsidR="00AF513C" w:rsidRDefault="006113FD" w:rsidP="0061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C32">
              <w:rPr>
                <w:rFonts w:ascii="Times New Roman" w:hAnsi="Times New Roman" w:cs="Times New Roman"/>
                <w:sz w:val="24"/>
                <w:szCs w:val="24"/>
              </w:rPr>
              <w:t>Kirlilik yönetimi (hava, su, toprak, gürültü, ışık, koku vb. kirliliği)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</w:t>
            </w:r>
            <w:r w:rsidR="00AF513C" w:rsidRPr="006113FD">
              <w:rPr>
                <w:rFonts w:ascii="Times New Roman" w:hAnsi="Times New Roman" w:cs="Times New Roman"/>
                <w:sz w:val="24"/>
                <w:szCs w:val="24"/>
              </w:rPr>
              <w:t xml:space="preserve">ikroplastik gibi kirlilik kaynaklarının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F513C" w:rsidRPr="006113FD">
              <w:rPr>
                <w:rFonts w:ascii="Times New Roman" w:hAnsi="Times New Roman" w:cs="Times New Roman"/>
                <w:sz w:val="24"/>
                <w:szCs w:val="24"/>
              </w:rPr>
              <w:t>ullanımının ve emisyonunun azaltımı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13C"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vb. </w:t>
            </w:r>
          </w:p>
          <w:p w14:paraId="2DF31D62" w14:textId="3DE45FAB" w:rsidR="006113FD" w:rsidRPr="00FA53F6" w:rsidRDefault="006113FD" w:rsidP="0061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7193F08F" w14:textId="62BAFBF6" w:rsidTr="0037757C">
        <w:trPr>
          <w:trHeight w:val="263"/>
        </w:trPr>
        <w:tc>
          <w:tcPr>
            <w:tcW w:w="237" w:type="pct"/>
          </w:tcPr>
          <w:p w14:paraId="496B9F1C" w14:textId="7F19F604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" w:type="pct"/>
          </w:tcPr>
          <w:p w14:paraId="53ADBAD9" w14:textId="14883BD2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</w:p>
        </w:tc>
        <w:tc>
          <w:tcPr>
            <w:tcW w:w="1485" w:type="pct"/>
          </w:tcPr>
          <w:p w14:paraId="4AE5EBCD" w14:textId="5A0B645F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Ham Madde Yönetimi</w:t>
            </w:r>
          </w:p>
        </w:tc>
        <w:tc>
          <w:tcPr>
            <w:tcW w:w="2626" w:type="pct"/>
          </w:tcPr>
          <w:p w14:paraId="49AF435E" w14:textId="169771EA" w:rsidR="00AF513C" w:rsidRPr="006113FD" w:rsidRDefault="006113FD" w:rsidP="0061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Ham madde tedarik yönetimi, ç</w:t>
            </w:r>
            <w:r w:rsidR="00AF513C" w:rsidRPr="006113FD">
              <w:rPr>
                <w:rFonts w:ascii="Times New Roman" w:hAnsi="Times New Roman" w:cs="Times New Roman"/>
                <w:sz w:val="24"/>
                <w:szCs w:val="24"/>
              </w:rPr>
              <w:t>evresel faktörler, risk ve fırsat bazlı tedarik stratejisi; geri dönüştürülmüş ham madde ve sorumlu kaynak kullanımı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</w:p>
          <w:p w14:paraId="3A60F185" w14:textId="26BC6C77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55BAEE3A" w14:textId="341E5D66" w:rsidTr="0037757C">
        <w:trPr>
          <w:trHeight w:val="263"/>
        </w:trPr>
        <w:tc>
          <w:tcPr>
            <w:tcW w:w="237" w:type="pct"/>
          </w:tcPr>
          <w:p w14:paraId="34C3C26D" w14:textId="710F5955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" w:type="pct"/>
          </w:tcPr>
          <w:p w14:paraId="2A0D9471" w14:textId="40C3DB60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</w:p>
        </w:tc>
        <w:tc>
          <w:tcPr>
            <w:tcW w:w="1485" w:type="pct"/>
          </w:tcPr>
          <w:p w14:paraId="6604804D" w14:textId="31BB67B4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Biyoçeşitlilik ve Kaynak Yönetimi</w:t>
            </w:r>
          </w:p>
        </w:tc>
        <w:tc>
          <w:tcPr>
            <w:tcW w:w="2626" w:type="pct"/>
          </w:tcPr>
          <w:p w14:paraId="1B6536C4" w14:textId="576F4982" w:rsidR="00AF513C" w:rsidRPr="006113FD" w:rsidRDefault="006113FD" w:rsidP="0061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Biyoçeşitliliğin korunması, ormansızlaşmanın önlenmesi, ç</w:t>
            </w:r>
            <w:r w:rsidR="00AF513C" w:rsidRPr="006113FD">
              <w:rPr>
                <w:rFonts w:ascii="Times New Roman" w:hAnsi="Times New Roman" w:cs="Times New Roman"/>
                <w:sz w:val="24"/>
                <w:szCs w:val="24"/>
              </w:rPr>
              <w:t>evresel risk analizi, çevresel etki analizi, sosyal sorumluluk projelerinin geliştirilmesi, doğal kaynakların kontrollü tüketimi, deniz yaşamının ve doğal yaşamın korunması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Ormansızlaşmanın Önlenmesi Tüzüğü vb.</w:t>
            </w:r>
          </w:p>
          <w:p w14:paraId="0BF1E2FB" w14:textId="7BF60018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74B360EB" w14:textId="599D7140" w:rsidTr="006113FD">
        <w:trPr>
          <w:trHeight w:val="1170"/>
        </w:trPr>
        <w:tc>
          <w:tcPr>
            <w:tcW w:w="237" w:type="pct"/>
          </w:tcPr>
          <w:p w14:paraId="7763501D" w14:textId="42AA4A72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" w:type="pct"/>
          </w:tcPr>
          <w:p w14:paraId="2FBDFED9" w14:textId="55068D30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</w:p>
        </w:tc>
        <w:tc>
          <w:tcPr>
            <w:tcW w:w="1485" w:type="pct"/>
          </w:tcPr>
          <w:p w14:paraId="26E6861A" w14:textId="20DAB3F3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Kimyasal Güvenlik</w:t>
            </w:r>
          </w:p>
        </w:tc>
        <w:tc>
          <w:tcPr>
            <w:tcW w:w="2626" w:type="pct"/>
          </w:tcPr>
          <w:p w14:paraId="080E9BB0" w14:textId="69AD1AC6" w:rsidR="00AF513C" w:rsidRPr="00FA53F6" w:rsidRDefault="006113FD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Kimyasalların yönetimi, g</w:t>
            </w:r>
            <w:r w:rsidR="00AF513C" w:rsidRPr="006113FD">
              <w:rPr>
                <w:rFonts w:ascii="Times New Roman" w:hAnsi="Times New Roman" w:cs="Times New Roman"/>
                <w:sz w:val="24"/>
                <w:szCs w:val="24"/>
              </w:rPr>
              <w:t>üvenli ve sürdürülebilir kimyasal kullanımı, REACH, Sürdürülebilir Kimyasallar Stratejisi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</w:p>
        </w:tc>
      </w:tr>
      <w:tr w:rsidR="00FA53F6" w:rsidRPr="00FA53F6" w14:paraId="0CC352E4" w14:textId="337776F2" w:rsidTr="0037757C">
        <w:trPr>
          <w:trHeight w:val="263"/>
        </w:trPr>
        <w:tc>
          <w:tcPr>
            <w:tcW w:w="237" w:type="pct"/>
          </w:tcPr>
          <w:p w14:paraId="3F9BEE58" w14:textId="2F1C6163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" w:type="pct"/>
          </w:tcPr>
          <w:p w14:paraId="71279479" w14:textId="38055508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Sosyal</w:t>
            </w:r>
          </w:p>
        </w:tc>
        <w:tc>
          <w:tcPr>
            <w:tcW w:w="1485" w:type="pct"/>
          </w:tcPr>
          <w:p w14:paraId="1677CB6A" w14:textId="169CC13C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Çalışan Demografisi</w:t>
            </w:r>
          </w:p>
        </w:tc>
        <w:tc>
          <w:tcPr>
            <w:tcW w:w="2626" w:type="pct"/>
          </w:tcPr>
          <w:p w14:paraId="61C77BD0" w14:textId="2E9E9573" w:rsidR="00E36F38" w:rsidRPr="00FA53F6" w:rsidRDefault="00AF513C" w:rsidP="00E3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F38">
              <w:rPr>
                <w:rFonts w:ascii="Times New Roman" w:hAnsi="Times New Roman" w:cs="Times New Roman"/>
                <w:sz w:val="24"/>
                <w:szCs w:val="24"/>
              </w:rPr>
              <w:t xml:space="preserve">Demografik yapının belirlenmesi ve geliştirilmesi politikalarının oluşturulması, uygulanması ve </w:t>
            </w:r>
            <w:r w:rsidR="00E36F38">
              <w:rPr>
                <w:rFonts w:ascii="Times New Roman" w:hAnsi="Times New Roman" w:cs="Times New Roman"/>
                <w:sz w:val="24"/>
                <w:szCs w:val="24"/>
              </w:rPr>
              <w:t>takibi vb.</w:t>
            </w:r>
          </w:p>
          <w:p w14:paraId="091AEABF" w14:textId="038CFEB3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0469DAFF" w14:textId="68AC6A24" w:rsidTr="0037757C">
        <w:trPr>
          <w:trHeight w:val="263"/>
        </w:trPr>
        <w:tc>
          <w:tcPr>
            <w:tcW w:w="237" w:type="pct"/>
          </w:tcPr>
          <w:p w14:paraId="747C89F6" w14:textId="5E0E440B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" w:type="pct"/>
          </w:tcPr>
          <w:p w14:paraId="07E8C3A3" w14:textId="5C138906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Sosyal </w:t>
            </w:r>
          </w:p>
        </w:tc>
        <w:tc>
          <w:tcPr>
            <w:tcW w:w="1485" w:type="pct"/>
          </w:tcPr>
          <w:p w14:paraId="07A5F30C" w14:textId="4255CFFE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İstihdam ve Çalışma Koşulları</w:t>
            </w:r>
          </w:p>
        </w:tc>
        <w:tc>
          <w:tcPr>
            <w:tcW w:w="2626" w:type="pct"/>
          </w:tcPr>
          <w:p w14:paraId="0B551996" w14:textId="0F68BBB8" w:rsidR="00AF513C" w:rsidRDefault="00E36F38" w:rsidP="00F44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koşullarının iyileştiri</w:t>
            </w:r>
            <w:r w:rsidR="00F44B5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mesi ve geliştirilmesi, a</w:t>
            </w:r>
            <w:r w:rsidR="00AF513C" w:rsidRPr="00E36F38">
              <w:rPr>
                <w:rFonts w:ascii="Times New Roman" w:hAnsi="Times New Roman" w:cs="Times New Roman"/>
                <w:sz w:val="24"/>
                <w:szCs w:val="24"/>
              </w:rPr>
              <w:t xml:space="preserve">dil ücretlendirme, insan kaynakları yönetimi, ücret yönetim sistemi, çalışan hakları, </w:t>
            </w:r>
            <w:r w:rsidR="00F44B5F" w:rsidRPr="00E36F38">
              <w:rPr>
                <w:rFonts w:ascii="Times New Roman" w:hAnsi="Times New Roman" w:cs="Times New Roman"/>
                <w:sz w:val="24"/>
                <w:szCs w:val="24"/>
              </w:rPr>
              <w:t>şikâyet</w:t>
            </w:r>
            <w:r w:rsidR="00AF513C" w:rsidRPr="00E36F38">
              <w:rPr>
                <w:rFonts w:ascii="Times New Roman" w:hAnsi="Times New Roman" w:cs="Times New Roman"/>
                <w:sz w:val="24"/>
                <w:szCs w:val="24"/>
              </w:rPr>
              <w:t xml:space="preserve"> yönetim sistemleri</w:t>
            </w:r>
            <w:r w:rsidR="00F44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13C"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vb. </w:t>
            </w:r>
          </w:p>
          <w:p w14:paraId="3970CF3B" w14:textId="12DB0B6F" w:rsidR="00F44B5F" w:rsidRPr="00FA53F6" w:rsidRDefault="00F44B5F" w:rsidP="00F44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4C8E3DD6" w14:textId="37CAD058" w:rsidTr="0037757C">
        <w:trPr>
          <w:trHeight w:val="263"/>
        </w:trPr>
        <w:tc>
          <w:tcPr>
            <w:tcW w:w="237" w:type="pct"/>
          </w:tcPr>
          <w:p w14:paraId="7FAFFB94" w14:textId="36CBC6B9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" w:type="pct"/>
          </w:tcPr>
          <w:p w14:paraId="4B37EFBF" w14:textId="68C599F3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Sosyal</w:t>
            </w:r>
          </w:p>
        </w:tc>
        <w:tc>
          <w:tcPr>
            <w:tcW w:w="1485" w:type="pct"/>
          </w:tcPr>
          <w:p w14:paraId="3BF54CC0" w14:textId="0E01A9ED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Eşitlik, Çeşitlilik ve Kapsayıcılık</w:t>
            </w:r>
          </w:p>
        </w:tc>
        <w:tc>
          <w:tcPr>
            <w:tcW w:w="2626" w:type="pct"/>
          </w:tcPr>
          <w:p w14:paraId="033EC19F" w14:textId="0FB1809F" w:rsidR="00AF513C" w:rsidRPr="00F44B5F" w:rsidRDefault="00AF513C" w:rsidP="00F44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B5F">
              <w:rPr>
                <w:rFonts w:ascii="Times New Roman" w:hAnsi="Times New Roman" w:cs="Times New Roman"/>
                <w:sz w:val="24"/>
                <w:szCs w:val="24"/>
              </w:rPr>
              <w:t xml:space="preserve">Fırsat eşitliği, dezavantajlı gruplar, pozitif </w:t>
            </w:r>
            <w:r w:rsidR="00F44B5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44B5F">
              <w:rPr>
                <w:rFonts w:ascii="Times New Roman" w:hAnsi="Times New Roman" w:cs="Times New Roman"/>
                <w:sz w:val="24"/>
                <w:szCs w:val="24"/>
              </w:rPr>
              <w:t>yrımcılık, işe alım politikaları, adil ücretlendirme, insan kaynakları yönetimi, ücret</w:t>
            </w:r>
          </w:p>
          <w:p w14:paraId="204F873C" w14:textId="7FEC68F8" w:rsidR="00AF513C" w:rsidRPr="00F44B5F" w:rsidRDefault="00F44B5F" w:rsidP="00F44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AF513C" w:rsidRPr="00F44B5F">
              <w:rPr>
                <w:rFonts w:ascii="Times New Roman" w:hAnsi="Times New Roman" w:cs="Times New Roman"/>
                <w:sz w:val="24"/>
                <w:szCs w:val="24"/>
              </w:rPr>
              <w:t>önetim sistemi, çalışan hakları, şikayet yönetim sistemleri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</w:p>
          <w:p w14:paraId="7AA78580" w14:textId="2B83E26A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6146A214" w14:textId="07B96EEC" w:rsidTr="0037757C">
        <w:trPr>
          <w:trHeight w:val="263"/>
        </w:trPr>
        <w:tc>
          <w:tcPr>
            <w:tcW w:w="237" w:type="pct"/>
          </w:tcPr>
          <w:p w14:paraId="24197149" w14:textId="2BFEE6BF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" w:type="pct"/>
          </w:tcPr>
          <w:p w14:paraId="07E8DA50" w14:textId="1D536A15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Sosyal </w:t>
            </w:r>
          </w:p>
        </w:tc>
        <w:tc>
          <w:tcPr>
            <w:tcW w:w="1485" w:type="pct"/>
          </w:tcPr>
          <w:p w14:paraId="0B0BDDBF" w14:textId="737EE999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Çalışan Sağlığı ve Güvenliği</w:t>
            </w:r>
          </w:p>
        </w:tc>
        <w:tc>
          <w:tcPr>
            <w:tcW w:w="2626" w:type="pct"/>
          </w:tcPr>
          <w:p w14:paraId="09F8D9E2" w14:textId="77777777" w:rsidR="00AF513C" w:rsidRDefault="00AF513C" w:rsidP="00F44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B5F">
              <w:rPr>
                <w:rFonts w:ascii="Times New Roman" w:hAnsi="Times New Roman" w:cs="Times New Roman"/>
                <w:sz w:val="24"/>
                <w:szCs w:val="24"/>
              </w:rPr>
              <w:t>İş sağlığı ve güvenliği yönetimi, kazaların önlenmesi, Kaizen, kök neden, yangın yönetimi, iş yeri ortam ölçümleri, acil durum eylem planları, ekipman yönetim sistemi, kalite yönetim sistemleri</w:t>
            </w:r>
            <w:r w:rsidR="00F44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vb. </w:t>
            </w:r>
          </w:p>
          <w:p w14:paraId="6FE10B1B" w14:textId="3030B4FA" w:rsidR="00F44B5F" w:rsidRPr="00FA53F6" w:rsidRDefault="00F44B5F" w:rsidP="00F44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73680863" w14:textId="2773ED91" w:rsidTr="0037757C">
        <w:trPr>
          <w:trHeight w:val="263"/>
        </w:trPr>
        <w:tc>
          <w:tcPr>
            <w:tcW w:w="237" w:type="pct"/>
          </w:tcPr>
          <w:p w14:paraId="678F73B5" w14:textId="72023C4C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652" w:type="pct"/>
          </w:tcPr>
          <w:p w14:paraId="24C1F592" w14:textId="7F1BC632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Sosyal </w:t>
            </w:r>
          </w:p>
        </w:tc>
        <w:tc>
          <w:tcPr>
            <w:tcW w:w="1485" w:type="pct"/>
          </w:tcPr>
          <w:p w14:paraId="3FF6A014" w14:textId="02A00B53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İnsan Hakları ve Toplumsal İlişkiler</w:t>
            </w:r>
          </w:p>
        </w:tc>
        <w:tc>
          <w:tcPr>
            <w:tcW w:w="2626" w:type="pct"/>
          </w:tcPr>
          <w:p w14:paraId="38A61C54" w14:textId="47181F88" w:rsidR="00AF513C" w:rsidRPr="00F44B5F" w:rsidRDefault="00AF513C" w:rsidP="00F44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B5F">
              <w:rPr>
                <w:rFonts w:ascii="Times New Roman" w:hAnsi="Times New Roman" w:cs="Times New Roman"/>
                <w:sz w:val="24"/>
                <w:szCs w:val="24"/>
              </w:rPr>
              <w:t>İşçi hakları yönetimi, ayrımcılığa karşı politikalar, sosyal sürdürülebilirlik, sosyal sorumluluk projeleri, tedarik zinciri çalışma şartlarının takibi ve iyileştirmesi, insana yakışır çalışma şartlarının oluşturulması</w:t>
            </w:r>
            <w:r w:rsidR="00F44B5F"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</w:p>
          <w:p w14:paraId="256D96BD" w14:textId="037E8165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1E3949C1" w14:textId="783C99F0" w:rsidTr="0037757C">
        <w:trPr>
          <w:trHeight w:val="252"/>
        </w:trPr>
        <w:tc>
          <w:tcPr>
            <w:tcW w:w="237" w:type="pct"/>
          </w:tcPr>
          <w:p w14:paraId="6F8B71D5" w14:textId="7DD8A68D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" w:type="pct"/>
          </w:tcPr>
          <w:p w14:paraId="4F6C4E65" w14:textId="0556D73A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Sosyal</w:t>
            </w:r>
          </w:p>
        </w:tc>
        <w:tc>
          <w:tcPr>
            <w:tcW w:w="1485" w:type="pct"/>
          </w:tcPr>
          <w:p w14:paraId="09084B31" w14:textId="41C2075E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Sağlık Hizmetlerine Erişim </w:t>
            </w:r>
          </w:p>
        </w:tc>
        <w:tc>
          <w:tcPr>
            <w:tcW w:w="2626" w:type="pct"/>
          </w:tcPr>
          <w:p w14:paraId="308AC05F" w14:textId="77777777" w:rsidR="00AF513C" w:rsidRDefault="00AF513C" w:rsidP="00F44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B5F">
              <w:rPr>
                <w:rFonts w:ascii="Times New Roman" w:hAnsi="Times New Roman" w:cs="Times New Roman"/>
                <w:sz w:val="24"/>
                <w:szCs w:val="24"/>
              </w:rPr>
              <w:t>Gelişmekte olan ve yetersiz hizmet alan ülke pazarlarında sağlık hizmetinin sunulması, sosyal yardım projelerinin geliştirilmesi, indirimli fiyat uygulaması</w:t>
            </w:r>
            <w:r w:rsidR="00F44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vb. </w:t>
            </w:r>
          </w:p>
          <w:p w14:paraId="47EA7EC1" w14:textId="13A87338" w:rsidR="00F44B5F" w:rsidRPr="00FA53F6" w:rsidRDefault="00F44B5F" w:rsidP="00F44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5EDDDE2E" w14:textId="77777777" w:rsidTr="0037757C">
        <w:trPr>
          <w:trHeight w:val="252"/>
        </w:trPr>
        <w:tc>
          <w:tcPr>
            <w:tcW w:w="237" w:type="pct"/>
          </w:tcPr>
          <w:p w14:paraId="14C680B1" w14:textId="29760F99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2" w:type="pct"/>
          </w:tcPr>
          <w:p w14:paraId="1E43B189" w14:textId="7161C133" w:rsidR="00AF513C" w:rsidRPr="008F11BA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1BA">
              <w:rPr>
                <w:rFonts w:ascii="Times New Roman" w:hAnsi="Times New Roman" w:cs="Times New Roman"/>
                <w:sz w:val="24"/>
                <w:szCs w:val="24"/>
              </w:rPr>
              <w:t>Sosyal</w:t>
            </w:r>
          </w:p>
        </w:tc>
        <w:tc>
          <w:tcPr>
            <w:tcW w:w="1485" w:type="pct"/>
          </w:tcPr>
          <w:p w14:paraId="25FEA731" w14:textId="2E27A3C2" w:rsidR="00AF513C" w:rsidRPr="008F11BA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1BA">
              <w:rPr>
                <w:rFonts w:ascii="Times New Roman" w:hAnsi="Times New Roman" w:cs="Times New Roman"/>
                <w:sz w:val="24"/>
                <w:szCs w:val="24"/>
              </w:rPr>
              <w:t>Ürün ve Hizmetlerin Erişilebilirliği</w:t>
            </w:r>
          </w:p>
        </w:tc>
        <w:tc>
          <w:tcPr>
            <w:tcW w:w="2626" w:type="pct"/>
          </w:tcPr>
          <w:p w14:paraId="3FE5647F" w14:textId="5512C893" w:rsidR="008F11BA" w:rsidRPr="008F11BA" w:rsidRDefault="008F11BA" w:rsidP="008F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1BA">
              <w:rPr>
                <w:rFonts w:ascii="Times New Roman" w:hAnsi="Times New Roman" w:cs="Times New Roman"/>
                <w:sz w:val="24"/>
                <w:szCs w:val="24"/>
              </w:rPr>
              <w:t>Ürün güvenliği, gıda güvenilirliği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hayvan sağlığı</w:t>
            </w:r>
            <w:r w:rsidRPr="008F11BA"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</w:p>
          <w:p w14:paraId="3560D526" w14:textId="4AE6BE94" w:rsidR="00AF513C" w:rsidRPr="008F11BA" w:rsidRDefault="00AF513C" w:rsidP="00D42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61280826" w14:textId="0A0D819E" w:rsidTr="0037757C">
        <w:trPr>
          <w:trHeight w:val="263"/>
        </w:trPr>
        <w:tc>
          <w:tcPr>
            <w:tcW w:w="237" w:type="pct"/>
          </w:tcPr>
          <w:p w14:paraId="78A45BE0" w14:textId="31411C60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2" w:type="pct"/>
          </w:tcPr>
          <w:p w14:paraId="7C0A252E" w14:textId="539AE732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Sosyal </w:t>
            </w:r>
          </w:p>
        </w:tc>
        <w:tc>
          <w:tcPr>
            <w:tcW w:w="1485" w:type="pct"/>
          </w:tcPr>
          <w:p w14:paraId="2C41535E" w14:textId="508350BA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Ürün Sağlığı, Kalitesi ve Güven</w:t>
            </w:r>
          </w:p>
        </w:tc>
        <w:tc>
          <w:tcPr>
            <w:tcW w:w="2626" w:type="pct"/>
          </w:tcPr>
          <w:p w14:paraId="68F8DF32" w14:textId="77777777" w:rsidR="00AF513C" w:rsidRPr="008F11BA" w:rsidRDefault="00AF513C" w:rsidP="008F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1BA">
              <w:rPr>
                <w:rFonts w:ascii="Times New Roman" w:hAnsi="Times New Roman" w:cs="Times New Roman"/>
                <w:sz w:val="24"/>
                <w:szCs w:val="24"/>
              </w:rPr>
              <w:t>Ulusal/uluslararası standartlara uygunluk, ürün güvenliği testleri, kalite yönetim sistemi;</w:t>
            </w:r>
          </w:p>
          <w:p w14:paraId="17901436" w14:textId="77777777" w:rsidR="00AF513C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vb. </w:t>
            </w:r>
          </w:p>
          <w:p w14:paraId="43323329" w14:textId="094D99F6" w:rsidR="008F11BA" w:rsidRPr="00FA53F6" w:rsidRDefault="008F11BA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6DA7F793" w14:textId="77E17E8A" w:rsidTr="0037757C">
        <w:trPr>
          <w:trHeight w:val="263"/>
        </w:trPr>
        <w:tc>
          <w:tcPr>
            <w:tcW w:w="237" w:type="pct"/>
          </w:tcPr>
          <w:p w14:paraId="5A553982" w14:textId="29EA66C4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2" w:type="pct"/>
          </w:tcPr>
          <w:p w14:paraId="4613B80A" w14:textId="5465A419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Sosyal </w:t>
            </w:r>
          </w:p>
        </w:tc>
        <w:tc>
          <w:tcPr>
            <w:tcW w:w="1485" w:type="pct"/>
          </w:tcPr>
          <w:p w14:paraId="7D8836B7" w14:textId="5FEEB724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Sorumlu Pazarlama ve Etiketleme</w:t>
            </w:r>
          </w:p>
        </w:tc>
        <w:tc>
          <w:tcPr>
            <w:tcW w:w="2626" w:type="pct"/>
          </w:tcPr>
          <w:p w14:paraId="20C05B63" w14:textId="70412B8A" w:rsidR="00AF513C" w:rsidRPr="00FA53F6" w:rsidRDefault="00AF513C" w:rsidP="008F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1BA">
              <w:rPr>
                <w:rFonts w:ascii="Times New Roman" w:hAnsi="Times New Roman" w:cs="Times New Roman"/>
                <w:sz w:val="24"/>
                <w:szCs w:val="24"/>
              </w:rPr>
              <w:t xml:space="preserve">Ürünün çevresel etkileri, tedariği, güvenli kullanımı ve imhası hakkında etiketleme, geri bildirim mekanizmaları, müşteri </w:t>
            </w:r>
            <w:r w:rsidR="008F11BA" w:rsidRPr="008F11BA">
              <w:rPr>
                <w:rFonts w:ascii="Times New Roman" w:hAnsi="Times New Roman" w:cs="Times New Roman"/>
                <w:sz w:val="24"/>
                <w:szCs w:val="24"/>
              </w:rPr>
              <w:t>şikâyet</w:t>
            </w:r>
            <w:r w:rsidRPr="008F11BA">
              <w:rPr>
                <w:rFonts w:ascii="Times New Roman" w:hAnsi="Times New Roman" w:cs="Times New Roman"/>
                <w:sz w:val="24"/>
                <w:szCs w:val="24"/>
              </w:rPr>
              <w:t xml:space="preserve"> yönetimi, sürdürülebilir pazarlama stratejisi</w:t>
            </w:r>
            <w:r w:rsidR="008F1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vb. </w:t>
            </w:r>
          </w:p>
        </w:tc>
      </w:tr>
      <w:tr w:rsidR="00FA53F6" w:rsidRPr="00FA53F6" w14:paraId="43301499" w14:textId="0E7EA422" w:rsidTr="0037757C">
        <w:trPr>
          <w:trHeight w:val="263"/>
        </w:trPr>
        <w:tc>
          <w:tcPr>
            <w:tcW w:w="237" w:type="pct"/>
          </w:tcPr>
          <w:p w14:paraId="23288BCE" w14:textId="20754984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2" w:type="pct"/>
          </w:tcPr>
          <w:p w14:paraId="1F0E7973" w14:textId="128C15AF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Sosyal </w:t>
            </w:r>
          </w:p>
        </w:tc>
        <w:tc>
          <w:tcPr>
            <w:tcW w:w="1485" w:type="pct"/>
          </w:tcPr>
          <w:p w14:paraId="0955FF4E" w14:textId="3E8D3E0B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Tedarik Zinciri Çalışma Koşulları</w:t>
            </w:r>
          </w:p>
        </w:tc>
        <w:tc>
          <w:tcPr>
            <w:tcW w:w="2626" w:type="pct"/>
          </w:tcPr>
          <w:p w14:paraId="6785CDBE" w14:textId="51746BE2" w:rsidR="00AF513C" w:rsidRPr="008F11BA" w:rsidRDefault="00AF513C" w:rsidP="008F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1BA">
              <w:rPr>
                <w:rFonts w:ascii="Times New Roman" w:hAnsi="Times New Roman" w:cs="Times New Roman"/>
                <w:sz w:val="24"/>
                <w:szCs w:val="24"/>
              </w:rPr>
              <w:t>Tedarik zinciri çalışma şartlarının takibi ve iyileştirmesi, insana yakışır çalışma şartlarının oluşturulması, sosyal uygunluk denetimleri;</w:t>
            </w:r>
          </w:p>
          <w:p w14:paraId="706DA522" w14:textId="77777777" w:rsidR="00AF513C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vb. </w:t>
            </w:r>
          </w:p>
          <w:p w14:paraId="2B6B648D" w14:textId="45170811" w:rsidR="008F11BA" w:rsidRPr="00FA53F6" w:rsidRDefault="008F11BA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491EDC9C" w14:textId="51FD318A" w:rsidTr="0037757C">
        <w:trPr>
          <w:trHeight w:val="263"/>
        </w:trPr>
        <w:tc>
          <w:tcPr>
            <w:tcW w:w="237" w:type="pct"/>
          </w:tcPr>
          <w:p w14:paraId="31FE455D" w14:textId="4E921E66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2" w:type="pct"/>
          </w:tcPr>
          <w:p w14:paraId="71AA7693" w14:textId="65881E46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Sosyal </w:t>
            </w:r>
          </w:p>
        </w:tc>
        <w:tc>
          <w:tcPr>
            <w:tcW w:w="1485" w:type="pct"/>
          </w:tcPr>
          <w:p w14:paraId="3393D353" w14:textId="3BE57531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Hayvan Refahı</w:t>
            </w:r>
          </w:p>
        </w:tc>
        <w:tc>
          <w:tcPr>
            <w:tcW w:w="2626" w:type="pct"/>
          </w:tcPr>
          <w:p w14:paraId="0A554A62" w14:textId="193B8048" w:rsidR="00AF513C" w:rsidRPr="008F11BA" w:rsidRDefault="00AF513C" w:rsidP="008F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1BA">
              <w:rPr>
                <w:rFonts w:ascii="Times New Roman" w:hAnsi="Times New Roman" w:cs="Times New Roman"/>
                <w:sz w:val="24"/>
                <w:szCs w:val="24"/>
              </w:rPr>
              <w:t>Hayvan refahı ve hakları, yaşam alanlarının korunması, hayvan sağlığı ve bakımı;</w:t>
            </w:r>
          </w:p>
          <w:p w14:paraId="6A525B79" w14:textId="77777777" w:rsidR="00AF513C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vb. </w:t>
            </w:r>
          </w:p>
          <w:p w14:paraId="79625D70" w14:textId="3B4A2EF2" w:rsidR="008F11BA" w:rsidRPr="00FA53F6" w:rsidRDefault="008F11BA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78532968" w14:textId="4DA77784" w:rsidTr="0037757C">
        <w:trPr>
          <w:trHeight w:val="252"/>
        </w:trPr>
        <w:tc>
          <w:tcPr>
            <w:tcW w:w="237" w:type="pct"/>
          </w:tcPr>
          <w:p w14:paraId="5EDE453D" w14:textId="56A519E7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2" w:type="pct"/>
          </w:tcPr>
          <w:p w14:paraId="4002351F" w14:textId="02B7C3C6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Yönetişim </w:t>
            </w:r>
          </w:p>
        </w:tc>
        <w:tc>
          <w:tcPr>
            <w:tcW w:w="1485" w:type="pct"/>
          </w:tcPr>
          <w:p w14:paraId="2FBCC80B" w14:textId="282EA791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Genel Yönetişim Anlayışı</w:t>
            </w:r>
          </w:p>
        </w:tc>
        <w:tc>
          <w:tcPr>
            <w:tcW w:w="2626" w:type="pct"/>
          </w:tcPr>
          <w:p w14:paraId="594E0529" w14:textId="77777777" w:rsidR="00AF513C" w:rsidRDefault="00AF513C" w:rsidP="008F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1BA">
              <w:rPr>
                <w:rFonts w:ascii="Times New Roman" w:hAnsi="Times New Roman" w:cs="Times New Roman"/>
                <w:sz w:val="24"/>
                <w:szCs w:val="24"/>
              </w:rPr>
              <w:t>Sürdürülebilirlik raporlaması ve doğrulaması, finansal raporlama ve doğrulama, sürdürülebilir finansmana erişim, sürdürülebilirlik odaklı iş modeli, mevcut iş modelinin sürdürülebilir hale getirilmesi</w:t>
            </w:r>
            <w:r w:rsidR="008F1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vb. </w:t>
            </w:r>
          </w:p>
          <w:p w14:paraId="2CA0D719" w14:textId="37526BF0" w:rsidR="008F11BA" w:rsidRPr="00FA53F6" w:rsidRDefault="008F11BA" w:rsidP="008F1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4993A6E9" w14:textId="3168B33F" w:rsidTr="0037757C">
        <w:trPr>
          <w:trHeight w:val="510"/>
        </w:trPr>
        <w:tc>
          <w:tcPr>
            <w:tcW w:w="237" w:type="pct"/>
          </w:tcPr>
          <w:p w14:paraId="4A8609E2" w14:textId="16DF8D82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2" w:type="pct"/>
          </w:tcPr>
          <w:p w14:paraId="29686BB3" w14:textId="10132BDA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Yönetişim</w:t>
            </w:r>
          </w:p>
        </w:tc>
        <w:tc>
          <w:tcPr>
            <w:tcW w:w="1485" w:type="pct"/>
          </w:tcPr>
          <w:p w14:paraId="25F881AE" w14:textId="2AE8B26D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Kurumsal Yönetişim ve Sürdürülebilirlik Yönetişimi</w:t>
            </w:r>
          </w:p>
        </w:tc>
        <w:tc>
          <w:tcPr>
            <w:tcW w:w="2626" w:type="pct"/>
          </w:tcPr>
          <w:p w14:paraId="77B9A753" w14:textId="01770A9A" w:rsidR="00AF513C" w:rsidRDefault="00C30BAE" w:rsidP="008F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Sürdürülebilir kurumsal yönetişim, s</w:t>
            </w:r>
            <w:r w:rsidR="00AF513C" w:rsidRPr="008F11BA">
              <w:rPr>
                <w:rFonts w:ascii="Times New Roman" w:hAnsi="Times New Roman" w:cs="Times New Roman"/>
                <w:sz w:val="24"/>
                <w:szCs w:val="24"/>
              </w:rPr>
              <w:t xml:space="preserve">ürdürülebilir kurumsal kapasitenin geliştirilmesi, </w:t>
            </w:r>
            <w:r w:rsidR="00B411C1">
              <w:rPr>
                <w:rFonts w:ascii="Times New Roman" w:hAnsi="Times New Roman" w:cs="Times New Roman"/>
                <w:sz w:val="24"/>
                <w:szCs w:val="24"/>
              </w:rPr>
              <w:t xml:space="preserve">sürdürülebilirlik stratejilerinin oluşturulması, </w:t>
            </w:r>
            <w:r w:rsidR="00AF513C" w:rsidRPr="008F11BA">
              <w:rPr>
                <w:rFonts w:ascii="Times New Roman" w:hAnsi="Times New Roman" w:cs="Times New Roman"/>
                <w:sz w:val="24"/>
                <w:szCs w:val="24"/>
              </w:rPr>
              <w:t>ESG puanlama sistemleri, sürdürülebilirlik mevcut durum analizi, kurumsal sürdürülebilirlik seviyesinin tespiti ve raporlanması, kurumsal sürdürülebilirlik stratejisi</w:t>
            </w:r>
            <w:r w:rsidR="008F1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13C"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vb. </w:t>
            </w:r>
          </w:p>
          <w:p w14:paraId="18B15793" w14:textId="0EBBC958" w:rsidR="008F11BA" w:rsidRPr="00FA53F6" w:rsidRDefault="008F11BA" w:rsidP="008F1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55D266C1" w14:textId="66795427" w:rsidTr="0037757C">
        <w:trPr>
          <w:trHeight w:val="263"/>
        </w:trPr>
        <w:tc>
          <w:tcPr>
            <w:tcW w:w="237" w:type="pct"/>
          </w:tcPr>
          <w:p w14:paraId="1B7A211A" w14:textId="19447EDC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2" w:type="pct"/>
          </w:tcPr>
          <w:p w14:paraId="4077030C" w14:textId="13360C14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Yönetişim</w:t>
            </w:r>
          </w:p>
        </w:tc>
        <w:tc>
          <w:tcPr>
            <w:tcW w:w="1485" w:type="pct"/>
          </w:tcPr>
          <w:p w14:paraId="30BCCB5C" w14:textId="11F244D5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Tedarik Zinciri Yönetimi</w:t>
            </w:r>
          </w:p>
        </w:tc>
        <w:tc>
          <w:tcPr>
            <w:tcW w:w="2626" w:type="pct"/>
          </w:tcPr>
          <w:p w14:paraId="4A775533" w14:textId="5BDC80A3" w:rsidR="00AF513C" w:rsidRDefault="00B411C1" w:rsidP="008F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Tedarik zinciri takip ve yönetimi, s</w:t>
            </w:r>
            <w:r w:rsidR="00AF513C" w:rsidRPr="008F11BA">
              <w:rPr>
                <w:rFonts w:ascii="Times New Roman" w:hAnsi="Times New Roman" w:cs="Times New Roman"/>
                <w:sz w:val="24"/>
                <w:szCs w:val="24"/>
              </w:rPr>
              <w:t>ürdürülebilir satın alma, sürdürülebilir tedarik zinciri ve kaynak verimliliği, tedarik zincirinin risk bazlı tanımlanması, tedarikçilerin uygunluk denetimi</w:t>
            </w:r>
            <w:r w:rsidR="008F1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13C"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vb. </w:t>
            </w:r>
          </w:p>
          <w:p w14:paraId="579E4D62" w14:textId="286E60E3" w:rsidR="008F11BA" w:rsidRPr="00FA53F6" w:rsidRDefault="008F11BA" w:rsidP="008F1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47294B13" w14:textId="6F0B940C" w:rsidTr="0037757C">
        <w:trPr>
          <w:trHeight w:val="263"/>
        </w:trPr>
        <w:tc>
          <w:tcPr>
            <w:tcW w:w="237" w:type="pct"/>
          </w:tcPr>
          <w:p w14:paraId="44B1BD44" w14:textId="73C36E19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2" w:type="pct"/>
          </w:tcPr>
          <w:p w14:paraId="03BCEE42" w14:textId="3754A103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Yönetişim</w:t>
            </w:r>
          </w:p>
        </w:tc>
        <w:tc>
          <w:tcPr>
            <w:tcW w:w="1485" w:type="pct"/>
          </w:tcPr>
          <w:p w14:paraId="020CFBEC" w14:textId="4839F921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İş Etiği ve Davranış Kuralları</w:t>
            </w:r>
          </w:p>
        </w:tc>
        <w:tc>
          <w:tcPr>
            <w:tcW w:w="2626" w:type="pct"/>
          </w:tcPr>
          <w:p w14:paraId="536BE5A2" w14:textId="1240D2C5" w:rsidR="00AF513C" w:rsidRDefault="00B411C1" w:rsidP="00B4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Etik hattı, e</w:t>
            </w:r>
            <w:r w:rsidR="00AF513C" w:rsidRPr="00B411C1">
              <w:rPr>
                <w:rFonts w:ascii="Times New Roman" w:hAnsi="Times New Roman" w:cs="Times New Roman"/>
                <w:sz w:val="24"/>
                <w:szCs w:val="24"/>
              </w:rPr>
              <w:t xml:space="preserve">tik davranış politikalarının oluşturulması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vb.</w:t>
            </w:r>
          </w:p>
          <w:p w14:paraId="2A3B7C55" w14:textId="5AE44853" w:rsidR="00B411C1" w:rsidRPr="00FA53F6" w:rsidRDefault="00B411C1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4A53925A" w14:textId="471D98FA" w:rsidTr="0037757C">
        <w:trPr>
          <w:trHeight w:val="263"/>
        </w:trPr>
        <w:tc>
          <w:tcPr>
            <w:tcW w:w="237" w:type="pct"/>
          </w:tcPr>
          <w:p w14:paraId="0996E739" w14:textId="2B63AD6B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652" w:type="pct"/>
          </w:tcPr>
          <w:p w14:paraId="1631F68B" w14:textId="71B6B6FC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Yönetişim </w:t>
            </w:r>
          </w:p>
        </w:tc>
        <w:tc>
          <w:tcPr>
            <w:tcW w:w="1485" w:type="pct"/>
          </w:tcPr>
          <w:p w14:paraId="15CBE66D" w14:textId="5D611F39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Vergi Şeffaflığı</w:t>
            </w:r>
          </w:p>
        </w:tc>
        <w:tc>
          <w:tcPr>
            <w:tcW w:w="2626" w:type="pct"/>
          </w:tcPr>
          <w:p w14:paraId="2E6F9AE0" w14:textId="42F62C33" w:rsidR="00AF513C" w:rsidRDefault="00B411C1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Vergi politikasının kamuyla paylaşımı, k</w:t>
            </w:r>
            <w:r w:rsidR="00AF513C" w:rsidRPr="00B411C1">
              <w:rPr>
                <w:rFonts w:ascii="Times New Roman" w:hAnsi="Times New Roman" w:cs="Times New Roman"/>
                <w:sz w:val="24"/>
                <w:szCs w:val="24"/>
              </w:rPr>
              <w:t>arbon vergisi stratejisinin oluşturulması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13C"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vb. </w:t>
            </w:r>
          </w:p>
          <w:p w14:paraId="55828F54" w14:textId="4BA2ECF9" w:rsidR="00B411C1" w:rsidRPr="00FA53F6" w:rsidRDefault="00B411C1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30B74A33" w14:textId="0CC1618F" w:rsidTr="0037757C">
        <w:trPr>
          <w:trHeight w:val="263"/>
        </w:trPr>
        <w:tc>
          <w:tcPr>
            <w:tcW w:w="237" w:type="pct"/>
          </w:tcPr>
          <w:p w14:paraId="624ABEA4" w14:textId="2A00B0EC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2" w:type="pct"/>
          </w:tcPr>
          <w:p w14:paraId="03226DBA" w14:textId="7D312AFA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Yönetişim</w:t>
            </w:r>
          </w:p>
        </w:tc>
        <w:tc>
          <w:tcPr>
            <w:tcW w:w="1485" w:type="pct"/>
          </w:tcPr>
          <w:p w14:paraId="5AD822AE" w14:textId="4556725C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Kurumsal Risk Yönetimi ve İç Kontrol</w:t>
            </w:r>
          </w:p>
        </w:tc>
        <w:tc>
          <w:tcPr>
            <w:tcW w:w="2626" w:type="pct"/>
          </w:tcPr>
          <w:p w14:paraId="6FA45A68" w14:textId="23AEA6AF" w:rsidR="00AF513C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C1">
              <w:rPr>
                <w:rFonts w:ascii="Times New Roman" w:hAnsi="Times New Roman" w:cs="Times New Roman"/>
                <w:sz w:val="24"/>
                <w:szCs w:val="24"/>
              </w:rPr>
              <w:t xml:space="preserve">Kurumsal risk </w:t>
            </w:r>
            <w:r w:rsidR="00B411C1" w:rsidRPr="00B411C1">
              <w:rPr>
                <w:rFonts w:ascii="Times New Roman" w:hAnsi="Times New Roman" w:cs="Times New Roman"/>
                <w:sz w:val="24"/>
                <w:szCs w:val="24"/>
              </w:rPr>
              <w:t>yönetimi,</w:t>
            </w:r>
            <w:r w:rsidR="00B411C1">
              <w:rPr>
                <w:rFonts w:ascii="Times New Roman" w:hAnsi="Times New Roman" w:cs="Times New Roman"/>
                <w:sz w:val="24"/>
                <w:szCs w:val="24"/>
              </w:rPr>
              <w:t xml:space="preserve"> standartların takibi ve yönetilmesi 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vb. </w:t>
            </w:r>
          </w:p>
          <w:p w14:paraId="71C86ED5" w14:textId="49C68396" w:rsidR="00B411C1" w:rsidRPr="00FA53F6" w:rsidRDefault="00B411C1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6DF0EBCE" w14:textId="3150D0F3" w:rsidTr="0037757C">
        <w:trPr>
          <w:trHeight w:val="252"/>
        </w:trPr>
        <w:tc>
          <w:tcPr>
            <w:tcW w:w="237" w:type="pct"/>
          </w:tcPr>
          <w:p w14:paraId="253A0621" w14:textId="77901969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2" w:type="pct"/>
          </w:tcPr>
          <w:p w14:paraId="02A660F8" w14:textId="6880834D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Yönetişim</w:t>
            </w:r>
          </w:p>
        </w:tc>
        <w:tc>
          <w:tcPr>
            <w:tcW w:w="1485" w:type="pct"/>
          </w:tcPr>
          <w:p w14:paraId="43E2C6C9" w14:textId="373F2930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Veri Güvenliği ve Gizlilik</w:t>
            </w:r>
          </w:p>
        </w:tc>
        <w:tc>
          <w:tcPr>
            <w:tcW w:w="2626" w:type="pct"/>
          </w:tcPr>
          <w:p w14:paraId="34B892B1" w14:textId="77777777" w:rsidR="00B411C1" w:rsidRDefault="00AF513C" w:rsidP="00B4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C1">
              <w:rPr>
                <w:rFonts w:ascii="Times New Roman" w:hAnsi="Times New Roman" w:cs="Times New Roman"/>
                <w:sz w:val="24"/>
                <w:szCs w:val="24"/>
              </w:rPr>
              <w:t xml:space="preserve">Bilişim teknolojileri yönetimi, bilgi güvenliği yönetimi, Kişisel Verilerin Korunması Kanunu (KVKK) gereklilikleri 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vb.</w:t>
            </w:r>
          </w:p>
          <w:p w14:paraId="046CBF97" w14:textId="1E797635" w:rsidR="00AF513C" w:rsidRPr="00FA53F6" w:rsidRDefault="00AF513C" w:rsidP="00B4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53F6" w:rsidRPr="00FA53F6" w14:paraId="5FB22795" w14:textId="5AFEB801" w:rsidTr="0037757C">
        <w:trPr>
          <w:trHeight w:val="263"/>
        </w:trPr>
        <w:tc>
          <w:tcPr>
            <w:tcW w:w="237" w:type="pct"/>
          </w:tcPr>
          <w:p w14:paraId="1B3E7FAE" w14:textId="6E2BBC84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2" w:type="pct"/>
          </w:tcPr>
          <w:p w14:paraId="4E932610" w14:textId="3E09DBB5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Yönetişim </w:t>
            </w:r>
          </w:p>
        </w:tc>
        <w:tc>
          <w:tcPr>
            <w:tcW w:w="1485" w:type="pct"/>
          </w:tcPr>
          <w:p w14:paraId="7E2800C3" w14:textId="0267F648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Dijitalleşme</w:t>
            </w:r>
          </w:p>
        </w:tc>
        <w:tc>
          <w:tcPr>
            <w:tcW w:w="2626" w:type="pct"/>
          </w:tcPr>
          <w:p w14:paraId="1CFF5340" w14:textId="199DAA51" w:rsidR="00AF513C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C1">
              <w:rPr>
                <w:rFonts w:ascii="Times New Roman" w:hAnsi="Times New Roman" w:cs="Times New Roman"/>
                <w:sz w:val="24"/>
                <w:szCs w:val="24"/>
              </w:rPr>
              <w:t>Dijital dönüşüm ihtiyacının belirlenmesi, takip edilebilirlik</w:t>
            </w:r>
            <w:r w:rsidR="00B411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11C1">
              <w:rPr>
                <w:rFonts w:ascii="Times New Roman" w:hAnsi="Times New Roman" w:cs="Times New Roman"/>
                <w:sz w:val="24"/>
                <w:szCs w:val="24"/>
              </w:rPr>
              <w:t xml:space="preserve"> izlenebilirlik</w:t>
            </w:r>
            <w:r w:rsidR="00B41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vb. </w:t>
            </w:r>
          </w:p>
          <w:p w14:paraId="78E5E862" w14:textId="61F57C5D" w:rsidR="00B411C1" w:rsidRPr="00FA53F6" w:rsidRDefault="00B411C1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5561C55A" w14:textId="2710F8A1" w:rsidTr="0037757C">
        <w:trPr>
          <w:trHeight w:val="263"/>
        </w:trPr>
        <w:tc>
          <w:tcPr>
            <w:tcW w:w="237" w:type="pct"/>
          </w:tcPr>
          <w:p w14:paraId="0372CB3C" w14:textId="5DBD8318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2" w:type="pct"/>
          </w:tcPr>
          <w:p w14:paraId="50A56AF3" w14:textId="47B4F048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Vizyon</w:t>
            </w:r>
          </w:p>
        </w:tc>
        <w:tc>
          <w:tcPr>
            <w:tcW w:w="1485" w:type="pct"/>
          </w:tcPr>
          <w:p w14:paraId="7504D4B9" w14:textId="71FEABE9" w:rsidR="00AF513C" w:rsidRPr="00FA53F6" w:rsidRDefault="00AF513C" w:rsidP="00AF513C">
            <w:pPr>
              <w:pStyle w:val="Default"/>
              <w:rPr>
                <w:color w:val="auto"/>
              </w:rPr>
            </w:pPr>
            <w:r w:rsidRPr="00FA53F6">
              <w:rPr>
                <w:color w:val="auto"/>
              </w:rPr>
              <w:t xml:space="preserve">AB Mevzuatının ve Sürdürülebilirlikle İlgili Sektörel Gelişmelerin Takibine </w:t>
            </w:r>
          </w:p>
        </w:tc>
        <w:tc>
          <w:tcPr>
            <w:tcW w:w="2626" w:type="pct"/>
          </w:tcPr>
          <w:p w14:paraId="3017C800" w14:textId="77777777" w:rsidR="00AF513C" w:rsidRPr="00B411C1" w:rsidRDefault="00AF513C" w:rsidP="00B4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C1">
              <w:rPr>
                <w:rFonts w:ascii="Times New Roman" w:hAnsi="Times New Roman" w:cs="Times New Roman"/>
                <w:sz w:val="24"/>
                <w:szCs w:val="24"/>
              </w:rPr>
              <w:t>AB Yeşil Mutabakatı ile ilgili ulusal ve uluslararası mevzuata ve müşteri taleplerine yönelik gerekliliklere uyum sağlanması</w:t>
            </w:r>
          </w:p>
          <w:p w14:paraId="087C6F0E" w14:textId="77777777" w:rsidR="00AF513C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vb. </w:t>
            </w:r>
          </w:p>
          <w:p w14:paraId="511F0A3C" w14:textId="60ED25AE" w:rsidR="00B411C1" w:rsidRPr="00FA53F6" w:rsidRDefault="00B411C1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37E4F6" w14:textId="77777777" w:rsidR="00FB3209" w:rsidRPr="00FA53F6" w:rsidRDefault="00FB3209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E8297" w14:textId="77777777" w:rsidR="00B8041B" w:rsidRDefault="00B8041B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3C585" w14:textId="77777777" w:rsidR="002D0160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62517" w14:textId="77777777" w:rsidR="002D0160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C7537" w14:textId="77777777" w:rsidR="002D0160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BC341" w14:textId="77777777" w:rsidR="002D0160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C25AD" w14:textId="77777777" w:rsidR="002D0160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60A5B" w14:textId="77777777" w:rsidR="002D0160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5C366" w14:textId="77777777" w:rsidR="002D0160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AA676" w14:textId="77777777" w:rsidR="002D0160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4B288" w14:textId="77777777" w:rsidR="002D0160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65045" w14:textId="77777777" w:rsidR="002D0160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F60D1" w14:textId="77777777" w:rsidR="002D0160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B6F19" w14:textId="77777777" w:rsidR="002D0160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8E77B9" w14:textId="77777777" w:rsidR="002D0160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8C4CA" w14:textId="77777777" w:rsidR="002D0160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B8564" w14:textId="77777777" w:rsidR="002D0160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11FE63" w14:textId="77777777" w:rsidR="002D0160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02061" w14:textId="77777777" w:rsidR="002D0160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4F14E" w14:textId="77777777" w:rsidR="002D0160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19E58" w14:textId="77777777" w:rsidR="002D0160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88B6C" w14:textId="77777777" w:rsidR="002D0160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A7C63" w14:textId="77777777" w:rsidR="002D0160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C00EE" w14:textId="77777777" w:rsidR="002D0160" w:rsidRPr="00FA53F6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8B090" w14:textId="77777777" w:rsidR="00B8041B" w:rsidRPr="00FA53F6" w:rsidRDefault="00B8041B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A4FA3" w14:textId="77777777" w:rsidR="00AF513C" w:rsidRPr="00FA53F6" w:rsidRDefault="00AF513C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EC116" w14:textId="77777777" w:rsidR="00AF513C" w:rsidRPr="00FA53F6" w:rsidRDefault="00AF513C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73572" w14:textId="77777777" w:rsidR="00AF513C" w:rsidRDefault="00AF513C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19E46" w14:textId="77777777" w:rsidR="00E46D12" w:rsidRDefault="00E46D12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F26A1" w14:textId="77777777" w:rsidR="00E46D12" w:rsidRDefault="00E46D12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992F5" w14:textId="77777777" w:rsidR="00E46D12" w:rsidRDefault="00E46D12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EAF3F" w14:textId="77777777" w:rsidR="00E46D12" w:rsidRDefault="00E46D12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BB3AA" w14:textId="77777777" w:rsidR="00E46D12" w:rsidRPr="00FA53F6" w:rsidRDefault="00E46D12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B5CC5" w14:textId="77777777" w:rsidR="00B8041B" w:rsidRPr="00FA53F6" w:rsidRDefault="00B8041B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90"/>
        <w:gridCol w:w="2466"/>
        <w:gridCol w:w="6371"/>
      </w:tblGrid>
      <w:tr w:rsidR="00FA53F6" w:rsidRPr="00FA53F6" w14:paraId="727A6CF4" w14:textId="77777777" w:rsidTr="00334E22">
        <w:trPr>
          <w:trHeight w:val="434"/>
        </w:trPr>
        <w:tc>
          <w:tcPr>
            <w:tcW w:w="5000" w:type="pct"/>
            <w:gridSpan w:val="3"/>
          </w:tcPr>
          <w:p w14:paraId="2516B069" w14:textId="3C5F246D" w:rsidR="00AF513C" w:rsidRPr="00FA53F6" w:rsidRDefault="00AF513C" w:rsidP="00AF5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2- SÜRDÜRÜLEBİLİRLİK VE BİLİŞİM DANIŞMANLIĞI</w:t>
            </w:r>
          </w:p>
        </w:tc>
      </w:tr>
      <w:tr w:rsidR="002D0160" w:rsidRPr="00FA53F6" w14:paraId="55928E30" w14:textId="77777777" w:rsidTr="00334E22">
        <w:trPr>
          <w:trHeight w:val="434"/>
        </w:trPr>
        <w:tc>
          <w:tcPr>
            <w:tcW w:w="5000" w:type="pct"/>
            <w:gridSpan w:val="3"/>
          </w:tcPr>
          <w:p w14:paraId="62F691B8" w14:textId="77777777" w:rsidR="00EB55CE" w:rsidRDefault="00EB55CE" w:rsidP="002D01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813627" w14:textId="1A98620F" w:rsidR="002D0160" w:rsidRDefault="002D0160" w:rsidP="002D0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a. Sürdürülebilirlik ve Bilişim Danışmanlığı tablosunda “Kapsam” sütununda belirtilen konulara ilişkin; 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yazılım, lisans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bakım onarım ve güncelleme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e danışmanlık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faaliyet ve harcamaları desteklenebilir.</w:t>
            </w:r>
          </w:p>
          <w:p w14:paraId="66E1A4F5" w14:textId="77777777" w:rsidR="00EB55CE" w:rsidRDefault="00EB55CE" w:rsidP="002D0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74A29" w14:textId="0C15187A" w:rsidR="002D0160" w:rsidRDefault="002D0160" w:rsidP="002D0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“Kapsam”a ilişkin örnek teşkil eden faaliyetlere “İçerik” sütununda yer verilmiştir.  </w:t>
            </w:r>
          </w:p>
          <w:p w14:paraId="79F8B707" w14:textId="77777777" w:rsidR="002D0160" w:rsidRPr="00FA53F6" w:rsidRDefault="002D0160" w:rsidP="00E46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3F6" w:rsidRPr="00FA53F6" w14:paraId="489A8C0D" w14:textId="77777777" w:rsidTr="00334E22">
        <w:tc>
          <w:tcPr>
            <w:tcW w:w="410" w:type="pct"/>
            <w:hideMark/>
          </w:tcPr>
          <w:p w14:paraId="3F4291F0" w14:textId="77777777" w:rsidR="00AF513C" w:rsidRPr="00FA53F6" w:rsidRDefault="00AF513C" w:rsidP="00FF4B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b/>
                <w:sz w:val="24"/>
                <w:szCs w:val="24"/>
              </w:rPr>
              <w:t>Odak Alanı</w:t>
            </w:r>
          </w:p>
        </w:tc>
        <w:tc>
          <w:tcPr>
            <w:tcW w:w="1281" w:type="pct"/>
            <w:hideMark/>
          </w:tcPr>
          <w:p w14:paraId="77E576C1" w14:textId="69A2C67F" w:rsidR="00AF513C" w:rsidRPr="00FA53F6" w:rsidRDefault="002D0160" w:rsidP="00FF4B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Kapsam</w:t>
            </w:r>
          </w:p>
        </w:tc>
        <w:tc>
          <w:tcPr>
            <w:tcW w:w="3309" w:type="pct"/>
            <w:hideMark/>
          </w:tcPr>
          <w:p w14:paraId="3909D0C3" w14:textId="77777777" w:rsidR="00AF513C" w:rsidRPr="00FA53F6" w:rsidRDefault="00AF513C" w:rsidP="00FF4B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b/>
                <w:sz w:val="24"/>
                <w:szCs w:val="24"/>
              </w:rPr>
              <w:t>İçerik</w:t>
            </w:r>
          </w:p>
        </w:tc>
      </w:tr>
      <w:tr w:rsidR="00FA53F6" w:rsidRPr="00FA53F6" w14:paraId="490BEF30" w14:textId="77777777" w:rsidTr="00334E22">
        <w:tc>
          <w:tcPr>
            <w:tcW w:w="410" w:type="pct"/>
            <w:vMerge w:val="restart"/>
            <w:textDirection w:val="btLr"/>
          </w:tcPr>
          <w:p w14:paraId="50AD2753" w14:textId="01D4EEB6" w:rsidR="00AF513C" w:rsidRPr="00FA53F6" w:rsidRDefault="002D0160" w:rsidP="00AF513C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Bilişim</w:t>
            </w:r>
            <w:r w:rsidR="00E46D12">
              <w:rPr>
                <w:rFonts w:ascii="Times New Roman" w:hAnsi="Times New Roman" w:cs="Times New Roman"/>
                <w:sz w:val="32"/>
                <w:szCs w:val="32"/>
              </w:rPr>
              <w:t xml:space="preserve"> Danışmanlığı</w:t>
            </w:r>
          </w:p>
          <w:p w14:paraId="6BFBA5F0" w14:textId="21E367C4" w:rsidR="00AF513C" w:rsidRPr="00FA53F6" w:rsidRDefault="00AF513C" w:rsidP="00AF51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  <w:hideMark/>
          </w:tcPr>
          <w:p w14:paraId="3019D283" w14:textId="120882F1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Sanayide Dijital Dönüşüm</w:t>
            </w:r>
          </w:p>
        </w:tc>
        <w:tc>
          <w:tcPr>
            <w:tcW w:w="3309" w:type="pct"/>
            <w:hideMark/>
          </w:tcPr>
          <w:p w14:paraId="048720FF" w14:textId="7AD619D4" w:rsidR="00AF513C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Veri üretebilen yeni nesil endüstriyel robotlardan akan verileri okumak, saklamak ve analiz etmek için gerekli </w:t>
            </w:r>
            <w:r w:rsidR="003C3EBC">
              <w:rPr>
                <w:rFonts w:ascii="Times New Roman" w:hAnsi="Times New Roman" w:cs="Times New Roman"/>
                <w:sz w:val="24"/>
                <w:szCs w:val="24"/>
              </w:rPr>
              <w:t>sistemler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, insan – makine arayüzü, artırılmış gerçeklik </w:t>
            </w:r>
            <w:r w:rsidR="00EB55CE">
              <w:rPr>
                <w:rFonts w:ascii="Times New Roman" w:hAnsi="Times New Roman" w:cs="Times New Roman"/>
                <w:sz w:val="24"/>
                <w:szCs w:val="24"/>
              </w:rPr>
              <w:t>vb.</w:t>
            </w:r>
            <w:r w:rsidR="003C3EBC">
              <w:rPr>
                <w:rFonts w:ascii="Times New Roman" w:hAnsi="Times New Roman" w:cs="Times New Roman"/>
                <w:sz w:val="24"/>
                <w:szCs w:val="24"/>
              </w:rPr>
              <w:t xml:space="preserve"> sistemler.</w:t>
            </w:r>
          </w:p>
          <w:p w14:paraId="51DF6899" w14:textId="77777777" w:rsidR="00771AC0" w:rsidRDefault="00771AC0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DBBD6" w14:textId="188CF75C" w:rsidR="00EB55CE" w:rsidRPr="00FA53F6" w:rsidRDefault="00EB55CE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3BDB0FD1" w14:textId="77777777" w:rsidTr="00334E22">
        <w:tc>
          <w:tcPr>
            <w:tcW w:w="410" w:type="pct"/>
            <w:vMerge/>
          </w:tcPr>
          <w:p w14:paraId="69E3D43C" w14:textId="358BD668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  <w:hideMark/>
          </w:tcPr>
          <w:p w14:paraId="6451ECCB" w14:textId="2A0796C0" w:rsidR="00AF513C" w:rsidRPr="00FA53F6" w:rsidRDefault="00AF513C" w:rsidP="004F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İnsan Kaynakları Yönetim Sistemleri</w:t>
            </w:r>
          </w:p>
        </w:tc>
        <w:tc>
          <w:tcPr>
            <w:tcW w:w="3309" w:type="pct"/>
            <w:hideMark/>
          </w:tcPr>
          <w:p w14:paraId="0F0427A4" w14:textId="1D78160D" w:rsidR="00AF513C" w:rsidRDefault="00AF513C" w:rsidP="004F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İşe alım, uyum, performans, terfi ücret ve yetenek yönetimi, kariyer planlama </w:t>
            </w:r>
            <w:r w:rsidR="003C3EBC">
              <w:rPr>
                <w:rFonts w:ascii="Times New Roman" w:hAnsi="Times New Roman" w:cs="Times New Roman"/>
                <w:sz w:val="24"/>
                <w:szCs w:val="24"/>
              </w:rPr>
              <w:t>vb.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 analitik sistemle</w:t>
            </w:r>
            <w:r w:rsidR="003C3EBC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14:paraId="17DF6803" w14:textId="77777777" w:rsidR="00771AC0" w:rsidRDefault="00771AC0" w:rsidP="004F3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61046" w14:textId="095C4A88" w:rsidR="00EB55CE" w:rsidRPr="00FA53F6" w:rsidRDefault="00EB55CE" w:rsidP="004F3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1384CE9D" w14:textId="77777777" w:rsidTr="00334E22">
        <w:tc>
          <w:tcPr>
            <w:tcW w:w="410" w:type="pct"/>
            <w:vMerge/>
          </w:tcPr>
          <w:p w14:paraId="5DFA9C37" w14:textId="3D751FC8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  <w:hideMark/>
          </w:tcPr>
          <w:p w14:paraId="7247DB45" w14:textId="285B94E0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İş Akış- Süreç Yönetim Sistemleri</w:t>
            </w:r>
          </w:p>
        </w:tc>
        <w:tc>
          <w:tcPr>
            <w:tcW w:w="3309" w:type="pct"/>
            <w:hideMark/>
          </w:tcPr>
          <w:p w14:paraId="49B3D87B" w14:textId="0E0D116F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Evrak ve doküman yönetimi, e-iş yönetim </w:t>
            </w:r>
            <w:r w:rsidR="003C3EBC">
              <w:rPr>
                <w:rFonts w:ascii="Times New Roman" w:hAnsi="Times New Roman" w:cs="Times New Roman"/>
                <w:sz w:val="24"/>
                <w:szCs w:val="24"/>
              </w:rPr>
              <w:t xml:space="preserve">vb. 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sistemler</w:t>
            </w:r>
            <w:r w:rsidR="003C3E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53F6" w:rsidRPr="00FA53F6" w14:paraId="78D1BB78" w14:textId="77777777" w:rsidTr="00334E22">
        <w:tc>
          <w:tcPr>
            <w:tcW w:w="410" w:type="pct"/>
            <w:vMerge/>
          </w:tcPr>
          <w:p w14:paraId="68F70E09" w14:textId="6FDBEE75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14:paraId="68E26787" w14:textId="173E6E32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Karar Destek Sistemleri</w:t>
            </w:r>
          </w:p>
          <w:p w14:paraId="50AA9456" w14:textId="77777777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pct"/>
            <w:hideMark/>
          </w:tcPr>
          <w:p w14:paraId="1B3606DC" w14:textId="7C2FC2F0" w:rsidR="00AF513C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Verilerin işlenerek stratejik karar alma süreçlerinde kullanılmasına yönelik iş zekâsı</w:t>
            </w:r>
            <w:r w:rsidR="003C3E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 yönetim raporlama</w:t>
            </w:r>
            <w:r w:rsidR="003C3EBC"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 sistemler</w:t>
            </w:r>
            <w:r w:rsidR="003C3E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59525E" w14:textId="77777777" w:rsidR="00771AC0" w:rsidRDefault="00771AC0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98F78" w14:textId="030434B3" w:rsidR="00EB55CE" w:rsidRPr="00FA53F6" w:rsidRDefault="00EB55CE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4C32795F" w14:textId="77777777" w:rsidTr="00334E22">
        <w:tc>
          <w:tcPr>
            <w:tcW w:w="410" w:type="pct"/>
            <w:vMerge/>
          </w:tcPr>
          <w:p w14:paraId="2111D25F" w14:textId="3DDA755D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  <w:hideMark/>
          </w:tcPr>
          <w:p w14:paraId="43C05004" w14:textId="5CDB6F24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Kurumsal Kaynak Planlaması (ERP)</w:t>
            </w:r>
          </w:p>
        </w:tc>
        <w:tc>
          <w:tcPr>
            <w:tcW w:w="3309" w:type="pct"/>
            <w:hideMark/>
          </w:tcPr>
          <w:p w14:paraId="7C131DCC" w14:textId="331523BC" w:rsidR="00AF513C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Kurumsal kaynak planlaması sistemlerinin oluşturulmasına yönelik satın alınacak iş süreçleri </w:t>
            </w:r>
            <w:r w:rsidR="003C3EBC">
              <w:rPr>
                <w:rFonts w:ascii="Times New Roman" w:hAnsi="Times New Roman" w:cs="Times New Roman"/>
                <w:sz w:val="24"/>
                <w:szCs w:val="24"/>
              </w:rPr>
              <w:t>vb.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 sistemler</w:t>
            </w:r>
            <w:r w:rsidR="003C3E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DBF3B0" w14:textId="77777777" w:rsidR="00771AC0" w:rsidRDefault="00771AC0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A8A8F" w14:textId="1CDB0EC1" w:rsidR="00EB55CE" w:rsidRPr="00FA53F6" w:rsidRDefault="00EB55CE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0EFBEF5E" w14:textId="77777777" w:rsidTr="00334E22">
        <w:tc>
          <w:tcPr>
            <w:tcW w:w="410" w:type="pct"/>
            <w:vMerge/>
          </w:tcPr>
          <w:p w14:paraId="47672128" w14:textId="7C380FAF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  <w:hideMark/>
          </w:tcPr>
          <w:p w14:paraId="5A6FC7BB" w14:textId="631055B6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Kurumsal Performans Yönetimi </w:t>
            </w:r>
          </w:p>
        </w:tc>
        <w:tc>
          <w:tcPr>
            <w:tcW w:w="3309" w:type="pct"/>
            <w:hideMark/>
          </w:tcPr>
          <w:p w14:paraId="3A3CAEBE" w14:textId="77777777" w:rsidR="00AF513C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Stratejik hedef ve amaçlarının yönetildiği, performansların ve gelişime açık alanların anahtar performans göstergeleri ile ölçüldüğü sistemler</w:t>
            </w:r>
            <w:r w:rsidR="009044AC"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</w:p>
          <w:p w14:paraId="357B00AD" w14:textId="77777777" w:rsidR="00771AC0" w:rsidRDefault="00771AC0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E46B9" w14:textId="66A6998B" w:rsidR="009044AC" w:rsidRPr="00FA53F6" w:rsidRDefault="009044A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6BB95248" w14:textId="77777777" w:rsidTr="00334E22">
        <w:tc>
          <w:tcPr>
            <w:tcW w:w="410" w:type="pct"/>
            <w:vMerge/>
          </w:tcPr>
          <w:p w14:paraId="721A998D" w14:textId="49074A9F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  <w:hideMark/>
          </w:tcPr>
          <w:p w14:paraId="01819D1A" w14:textId="2FB5FFE2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Nesnelerin İnterneti (Internet of Things)</w:t>
            </w:r>
          </w:p>
        </w:tc>
        <w:tc>
          <w:tcPr>
            <w:tcW w:w="3309" w:type="pct"/>
            <w:hideMark/>
          </w:tcPr>
          <w:p w14:paraId="436B3543" w14:textId="3C31A1D6" w:rsidR="00AF513C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Akıllı okuyucuların (sensör) ürettikleri verilerin aktarılması</w:t>
            </w:r>
            <w:r w:rsidR="003C3EBC">
              <w:rPr>
                <w:rFonts w:ascii="Times New Roman" w:hAnsi="Times New Roman" w:cs="Times New Roman"/>
                <w:sz w:val="24"/>
                <w:szCs w:val="24"/>
              </w:rPr>
              <w:t xml:space="preserve"> vb. </w:t>
            </w:r>
            <w:r w:rsidR="009044AC">
              <w:rPr>
                <w:rFonts w:ascii="Times New Roman" w:hAnsi="Times New Roman" w:cs="Times New Roman"/>
                <w:sz w:val="24"/>
                <w:szCs w:val="24"/>
              </w:rPr>
              <w:t>yönelik sistemler</w:t>
            </w:r>
            <w:r w:rsidR="003C3E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42AA7A" w14:textId="77777777" w:rsidR="00771AC0" w:rsidRDefault="00771AC0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4B10E" w14:textId="73705182" w:rsidR="009044AC" w:rsidRPr="00FA53F6" w:rsidRDefault="009044A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17F3E69E" w14:textId="77777777" w:rsidTr="00334E22">
        <w:tc>
          <w:tcPr>
            <w:tcW w:w="410" w:type="pct"/>
            <w:vMerge/>
          </w:tcPr>
          <w:p w14:paraId="3F96848D" w14:textId="3B46E44D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  <w:hideMark/>
          </w:tcPr>
          <w:p w14:paraId="0C67DA63" w14:textId="7CA9F62C" w:rsidR="00AF513C" w:rsidRPr="00FA53F6" w:rsidRDefault="00AF513C" w:rsidP="00AF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Risk Yönetim Sistemleri</w:t>
            </w:r>
          </w:p>
        </w:tc>
        <w:tc>
          <w:tcPr>
            <w:tcW w:w="3309" w:type="pct"/>
            <w:hideMark/>
          </w:tcPr>
          <w:p w14:paraId="2F5AACC9" w14:textId="214BCE6D" w:rsidR="00AF513C" w:rsidRDefault="00AF513C" w:rsidP="00AF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Kurumsal risk süreçlerinin belirlenmesi, kategorize edilmesi, sorumlularının ve ait olduğu organizasyonel birimlerin belirlenmesini, belirlenen risklerin olasılık ve etki değerlendirmelerinin yapılarak bu risklerin kontrol altına alınması için gerekli aksiyonların takip edilmesini </w:t>
            </w:r>
            <w:r w:rsidR="003C3EBC">
              <w:rPr>
                <w:rFonts w:ascii="Times New Roman" w:hAnsi="Times New Roman" w:cs="Times New Roman"/>
                <w:sz w:val="24"/>
                <w:szCs w:val="24"/>
              </w:rPr>
              <w:t xml:space="preserve">vb. 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sağlayan </w:t>
            </w:r>
            <w:r w:rsidR="003C3EBC">
              <w:rPr>
                <w:rFonts w:ascii="Times New Roman" w:hAnsi="Times New Roman" w:cs="Times New Roman"/>
                <w:sz w:val="24"/>
                <w:szCs w:val="24"/>
              </w:rPr>
              <w:t>sistemler.</w:t>
            </w:r>
          </w:p>
          <w:p w14:paraId="3D994C01" w14:textId="77777777" w:rsidR="00771AC0" w:rsidRDefault="00771AC0" w:rsidP="00AF4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1AE2F" w14:textId="0196F111" w:rsidR="003C3EBC" w:rsidRPr="00FA53F6" w:rsidRDefault="003C3EBC" w:rsidP="00AF4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15274D2F" w14:textId="77777777" w:rsidTr="00334E22">
        <w:tc>
          <w:tcPr>
            <w:tcW w:w="410" w:type="pct"/>
            <w:vMerge/>
          </w:tcPr>
          <w:p w14:paraId="02E2EEF4" w14:textId="28146560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  <w:hideMark/>
          </w:tcPr>
          <w:p w14:paraId="56F5B8EB" w14:textId="3C518989" w:rsidR="00AF513C" w:rsidRPr="00FA53F6" w:rsidRDefault="00AF513C" w:rsidP="009F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Simülasyon / Tasarım</w:t>
            </w:r>
          </w:p>
        </w:tc>
        <w:tc>
          <w:tcPr>
            <w:tcW w:w="3309" w:type="pct"/>
            <w:hideMark/>
          </w:tcPr>
          <w:p w14:paraId="4B6CB8B0" w14:textId="1F67BE0F" w:rsidR="00AF513C" w:rsidRDefault="00AF513C" w:rsidP="009F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Bilgisayarlı tasarım, üretim (CAD/ CAM), 3 boyutlu baskı</w:t>
            </w:r>
            <w:r w:rsidR="003C3EBC"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  <w:r w:rsidR="00F371C6">
              <w:rPr>
                <w:rFonts w:ascii="Times New Roman" w:hAnsi="Times New Roman" w:cs="Times New Roman"/>
                <w:sz w:val="24"/>
                <w:szCs w:val="24"/>
              </w:rPr>
              <w:t xml:space="preserve"> sistemler.</w:t>
            </w:r>
          </w:p>
          <w:p w14:paraId="1D4031CE" w14:textId="77777777" w:rsidR="00771AC0" w:rsidRDefault="00771AC0" w:rsidP="009F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3E4A5" w14:textId="7F8AE401" w:rsidR="003C3EBC" w:rsidRPr="00FA53F6" w:rsidRDefault="003C3EBC" w:rsidP="009F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2C36D910" w14:textId="77777777" w:rsidTr="00334E22">
        <w:tc>
          <w:tcPr>
            <w:tcW w:w="410" w:type="pct"/>
            <w:vMerge/>
          </w:tcPr>
          <w:p w14:paraId="1FC8C33E" w14:textId="151F56CF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  <w:hideMark/>
          </w:tcPr>
          <w:p w14:paraId="73F6D9B8" w14:textId="2E05352B" w:rsidR="00AF513C" w:rsidRPr="00FA53F6" w:rsidRDefault="00AF513C" w:rsidP="009F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Talep Planlama Sistemleri (DMS)</w:t>
            </w:r>
          </w:p>
        </w:tc>
        <w:tc>
          <w:tcPr>
            <w:tcW w:w="3309" w:type="pct"/>
            <w:hideMark/>
          </w:tcPr>
          <w:p w14:paraId="44A74E1A" w14:textId="2DC3A151" w:rsidR="00AF513C" w:rsidRDefault="00AF513C" w:rsidP="009F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Pazarlama, satış, üretim ve tedarik süreçlerine ilişkin planlama</w:t>
            </w:r>
            <w:r w:rsidR="00F371C6"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 sistemler</w:t>
            </w:r>
            <w:r w:rsidR="00F371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A50C4D" w14:textId="77777777" w:rsidR="00771AC0" w:rsidRDefault="00771AC0" w:rsidP="009F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B4A86" w14:textId="3F2205F6" w:rsidR="003C3EBC" w:rsidRPr="00FA53F6" w:rsidRDefault="003C3EBC" w:rsidP="009F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05B9F659" w14:textId="77777777" w:rsidTr="00334E22">
        <w:tc>
          <w:tcPr>
            <w:tcW w:w="410" w:type="pct"/>
            <w:vMerge/>
            <w:hideMark/>
          </w:tcPr>
          <w:p w14:paraId="4F32013F" w14:textId="31064ED6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  <w:hideMark/>
          </w:tcPr>
          <w:p w14:paraId="4C669DD6" w14:textId="4F5B6C00" w:rsidR="00AF513C" w:rsidRPr="00FA53F6" w:rsidRDefault="00AF513C" w:rsidP="009F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Tedarik Zinciri Yönetimi</w:t>
            </w:r>
          </w:p>
        </w:tc>
        <w:tc>
          <w:tcPr>
            <w:tcW w:w="3309" w:type="pct"/>
            <w:hideMark/>
          </w:tcPr>
          <w:p w14:paraId="0F0C315B" w14:textId="61864901" w:rsidR="00AF513C" w:rsidRDefault="00AF513C" w:rsidP="009F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Uçtan uca tedarik, perakende, araç planlama sistemleri, lojistik yönetim ve optimizasyon</w:t>
            </w:r>
            <w:r w:rsidR="008870D9"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 sistemler</w:t>
            </w:r>
            <w:r w:rsidR="00887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E9C0AE" w14:textId="77777777" w:rsidR="00771AC0" w:rsidRDefault="00771AC0" w:rsidP="009F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1ED51" w14:textId="584423B5" w:rsidR="003C3EBC" w:rsidRPr="00FA53F6" w:rsidRDefault="003C3EBC" w:rsidP="009F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6F0F7505" w14:textId="77777777" w:rsidTr="00334E22">
        <w:tc>
          <w:tcPr>
            <w:tcW w:w="410" w:type="pct"/>
            <w:vMerge/>
            <w:hideMark/>
          </w:tcPr>
          <w:p w14:paraId="4A2C7778" w14:textId="20F1C52B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  <w:hideMark/>
          </w:tcPr>
          <w:p w14:paraId="26F006D8" w14:textId="3AF02F7D" w:rsidR="00AF513C" w:rsidRPr="00FA53F6" w:rsidRDefault="00AF513C" w:rsidP="009F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Üretim Optimizasyon Sistemleri</w:t>
            </w:r>
          </w:p>
        </w:tc>
        <w:tc>
          <w:tcPr>
            <w:tcW w:w="3309" w:type="pct"/>
            <w:hideMark/>
          </w:tcPr>
          <w:p w14:paraId="0F5740A5" w14:textId="1EB94D4E" w:rsidR="003C3EBC" w:rsidRDefault="00AF513C" w:rsidP="003C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Üretim süreçlerinin optimizasyonu</w:t>
            </w:r>
            <w:r w:rsidR="008870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 üretim planlama ve çizelgeme</w:t>
            </w:r>
            <w:r w:rsidR="008870D9"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EBC">
              <w:rPr>
                <w:rFonts w:ascii="Times New Roman" w:hAnsi="Times New Roman" w:cs="Times New Roman"/>
                <w:sz w:val="24"/>
                <w:szCs w:val="24"/>
              </w:rPr>
              <w:t>sistemler</w:t>
            </w:r>
            <w:r w:rsidR="00887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60EC24" w14:textId="77777777" w:rsidR="00771AC0" w:rsidRDefault="00771AC0" w:rsidP="003C3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3548C" w14:textId="38678C44" w:rsidR="003C3EBC" w:rsidRPr="00FA53F6" w:rsidRDefault="003C3EBC" w:rsidP="003C3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79E9BF50" w14:textId="77777777" w:rsidTr="00334E22">
        <w:tc>
          <w:tcPr>
            <w:tcW w:w="410" w:type="pct"/>
            <w:vMerge/>
            <w:hideMark/>
          </w:tcPr>
          <w:p w14:paraId="3F092BD0" w14:textId="6034CB3A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  <w:hideMark/>
          </w:tcPr>
          <w:p w14:paraId="5DE2B316" w14:textId="51CFC70C" w:rsidR="00AF513C" w:rsidRPr="00FA53F6" w:rsidRDefault="00AF513C" w:rsidP="00614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Yapay Zekâ Sistemleri ve Derin Öğrenme (Deep Intelligence)</w:t>
            </w:r>
          </w:p>
        </w:tc>
        <w:tc>
          <w:tcPr>
            <w:tcW w:w="3309" w:type="pct"/>
            <w:hideMark/>
          </w:tcPr>
          <w:p w14:paraId="5CFD3BBE" w14:textId="430EC179" w:rsidR="00AF513C" w:rsidRPr="00FA53F6" w:rsidRDefault="00AF513C" w:rsidP="00614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Akıllı makinelerin üreteceği veri üzerinde koşulabilecek derin ve makine öğrenimi</w:t>
            </w:r>
            <w:r w:rsidR="008870D9"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EBC">
              <w:rPr>
                <w:rFonts w:ascii="Times New Roman" w:hAnsi="Times New Roman" w:cs="Times New Roman"/>
                <w:sz w:val="24"/>
                <w:szCs w:val="24"/>
              </w:rPr>
              <w:t>sistemler</w:t>
            </w:r>
            <w:r w:rsidR="00887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53F6" w:rsidRPr="00FA53F6" w14:paraId="35EEE4BB" w14:textId="77777777" w:rsidTr="00334E22">
        <w:trPr>
          <w:trHeight w:val="597"/>
        </w:trPr>
        <w:tc>
          <w:tcPr>
            <w:tcW w:w="410" w:type="pct"/>
            <w:vMerge/>
            <w:hideMark/>
          </w:tcPr>
          <w:p w14:paraId="175D515B" w14:textId="5BA30FD4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  <w:hideMark/>
          </w:tcPr>
          <w:p w14:paraId="7206DC1C" w14:textId="37697F94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Veri Güvenliği ve Gizlilik </w:t>
            </w:r>
          </w:p>
        </w:tc>
        <w:tc>
          <w:tcPr>
            <w:tcW w:w="3309" w:type="pct"/>
            <w:hideMark/>
          </w:tcPr>
          <w:p w14:paraId="0C370607" w14:textId="3BD69430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Veri güvenliği</w:t>
            </w:r>
            <w:r w:rsidR="008870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 gizliliği</w:t>
            </w:r>
            <w:r w:rsidR="008870D9"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EBC">
              <w:rPr>
                <w:rFonts w:ascii="Times New Roman" w:hAnsi="Times New Roman" w:cs="Times New Roman"/>
                <w:sz w:val="24"/>
                <w:szCs w:val="24"/>
              </w:rPr>
              <w:t>sistemler</w:t>
            </w:r>
            <w:r w:rsidR="00887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53F6" w:rsidRPr="00FA53F6" w14:paraId="3D37933C" w14:textId="77777777" w:rsidTr="00334E22">
        <w:trPr>
          <w:trHeight w:val="597"/>
        </w:trPr>
        <w:tc>
          <w:tcPr>
            <w:tcW w:w="410" w:type="pct"/>
            <w:vMerge/>
            <w:hideMark/>
          </w:tcPr>
          <w:p w14:paraId="28C99787" w14:textId="079D079E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14:paraId="58C6D55B" w14:textId="4F628F46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Dijital Ürün Pasaportu</w:t>
            </w:r>
          </w:p>
          <w:p w14:paraId="5EF3F08E" w14:textId="77777777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pct"/>
            <w:hideMark/>
          </w:tcPr>
          <w:p w14:paraId="4F605206" w14:textId="7D00341D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Dijital ürün pasaportunun oluşturulması için gerekli </w:t>
            </w:r>
            <w:r w:rsidR="008870D9">
              <w:rPr>
                <w:rFonts w:ascii="Times New Roman" w:hAnsi="Times New Roman" w:cs="Times New Roman"/>
                <w:sz w:val="24"/>
                <w:szCs w:val="24"/>
              </w:rPr>
              <w:t>sistemler.</w:t>
            </w:r>
          </w:p>
        </w:tc>
      </w:tr>
      <w:tr w:rsidR="00FA53F6" w:rsidRPr="00FA53F6" w14:paraId="5D9B7A3D" w14:textId="77777777" w:rsidTr="00334E22">
        <w:trPr>
          <w:trHeight w:val="597"/>
        </w:trPr>
        <w:tc>
          <w:tcPr>
            <w:tcW w:w="410" w:type="pct"/>
            <w:vMerge/>
            <w:hideMark/>
          </w:tcPr>
          <w:p w14:paraId="18184395" w14:textId="3627F590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  <w:hideMark/>
          </w:tcPr>
          <w:p w14:paraId="75E57C59" w14:textId="32CD069A" w:rsidR="00AF513C" w:rsidRPr="00FA53F6" w:rsidRDefault="00AF513C" w:rsidP="00614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Sürdürülebilir Bilişim Danışmanlığı</w:t>
            </w:r>
          </w:p>
        </w:tc>
        <w:tc>
          <w:tcPr>
            <w:tcW w:w="3309" w:type="pct"/>
            <w:hideMark/>
          </w:tcPr>
          <w:p w14:paraId="7FE05EA2" w14:textId="3D12B79D" w:rsidR="00AF513C" w:rsidRPr="00FA53F6" w:rsidRDefault="00AF513C" w:rsidP="00614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Ürün ve süreçlerin sürdürülebilir olmasına yönelik </w:t>
            </w:r>
            <w:r w:rsidR="008870D9">
              <w:rPr>
                <w:rFonts w:ascii="Times New Roman" w:hAnsi="Times New Roman" w:cs="Times New Roman"/>
                <w:sz w:val="24"/>
                <w:szCs w:val="24"/>
              </w:rPr>
              <w:t>sistemler.</w:t>
            </w:r>
          </w:p>
        </w:tc>
      </w:tr>
      <w:tr w:rsidR="00FA53F6" w:rsidRPr="00FA53F6" w14:paraId="1FB95A47" w14:textId="77777777" w:rsidTr="00334E22">
        <w:trPr>
          <w:trHeight w:val="597"/>
        </w:trPr>
        <w:tc>
          <w:tcPr>
            <w:tcW w:w="410" w:type="pct"/>
            <w:vMerge/>
            <w:tcBorders>
              <w:bottom w:val="single" w:sz="4" w:space="0" w:color="auto"/>
            </w:tcBorders>
            <w:hideMark/>
          </w:tcPr>
          <w:p w14:paraId="30AD6D13" w14:textId="28A8AD47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  <w:tcBorders>
              <w:bottom w:val="single" w:sz="4" w:space="0" w:color="auto"/>
            </w:tcBorders>
            <w:hideMark/>
          </w:tcPr>
          <w:p w14:paraId="083E2F7F" w14:textId="04389D71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Dijital Dönüşüm</w:t>
            </w:r>
          </w:p>
        </w:tc>
        <w:tc>
          <w:tcPr>
            <w:tcW w:w="3309" w:type="pct"/>
            <w:tcBorders>
              <w:bottom w:val="single" w:sz="4" w:space="0" w:color="auto"/>
            </w:tcBorders>
            <w:hideMark/>
          </w:tcPr>
          <w:p w14:paraId="66F30DBD" w14:textId="77777777" w:rsidR="00AF513C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Uygulama Danışmanlığı başlığında yer alan; çevre, sosyal, yönetişim ve vizyon odak alanlarının iyileştirilmesine yönelik </w:t>
            </w:r>
            <w:r w:rsidR="008870D9">
              <w:rPr>
                <w:rFonts w:ascii="Times New Roman" w:hAnsi="Times New Roman" w:cs="Times New Roman"/>
                <w:sz w:val="24"/>
                <w:szCs w:val="24"/>
              </w:rPr>
              <w:t>sistemler.</w:t>
            </w:r>
          </w:p>
          <w:p w14:paraId="54B0DA73" w14:textId="531D5A35" w:rsidR="00771AC0" w:rsidRPr="00FA53F6" w:rsidRDefault="00771AC0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0D9" w:rsidRPr="00FA53F6" w14:paraId="2BFC98A8" w14:textId="77777777" w:rsidTr="00334E22">
        <w:trPr>
          <w:trHeight w:val="438"/>
        </w:trPr>
        <w:tc>
          <w:tcPr>
            <w:tcW w:w="5000" w:type="pct"/>
            <w:gridSpan w:val="3"/>
            <w:tcBorders>
              <w:left w:val="nil"/>
              <w:right w:val="nil"/>
            </w:tcBorders>
          </w:tcPr>
          <w:p w14:paraId="2A7FAB1B" w14:textId="77777777" w:rsidR="008870D9" w:rsidRDefault="008870D9" w:rsidP="00EB6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6580D" w14:textId="77777777" w:rsidR="00334E22" w:rsidRPr="00FA53F6" w:rsidRDefault="00334E22" w:rsidP="00EB6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3F6" w:rsidRPr="00FA53F6" w14:paraId="040C7BE1" w14:textId="77777777" w:rsidTr="00334E22">
        <w:trPr>
          <w:trHeight w:val="438"/>
        </w:trPr>
        <w:tc>
          <w:tcPr>
            <w:tcW w:w="5000" w:type="pct"/>
            <w:gridSpan w:val="3"/>
          </w:tcPr>
          <w:p w14:paraId="0A3A538E" w14:textId="0972C424" w:rsidR="00EB6DBF" w:rsidRPr="00FA53F6" w:rsidRDefault="00AF513C" w:rsidP="00EB6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B6DBF" w:rsidRPr="00FA53F6">
              <w:rPr>
                <w:rFonts w:ascii="Times New Roman" w:hAnsi="Times New Roman" w:cs="Times New Roman"/>
                <w:b/>
                <w:sz w:val="24"/>
                <w:szCs w:val="24"/>
              </w:rPr>
              <w:t>- DİĞER</w:t>
            </w:r>
          </w:p>
          <w:p w14:paraId="7AA416D2" w14:textId="77777777" w:rsidR="00EB6DBF" w:rsidRPr="00FA53F6" w:rsidRDefault="00EB6DBF" w:rsidP="00D16B1E">
            <w:pPr>
              <w:ind w:left="33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0D9" w:rsidRPr="00FA53F6" w14:paraId="1D6F5F40" w14:textId="77777777" w:rsidTr="00334E22">
        <w:trPr>
          <w:trHeight w:val="668"/>
        </w:trPr>
        <w:tc>
          <w:tcPr>
            <w:tcW w:w="5000" w:type="pct"/>
            <w:gridSpan w:val="3"/>
          </w:tcPr>
          <w:p w14:paraId="4022E24D" w14:textId="77777777" w:rsidR="00EB6DBF" w:rsidRPr="00FA53F6" w:rsidRDefault="00EB6DBF" w:rsidP="00EB6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bCs/>
                <w:sz w:val="24"/>
                <w:szCs w:val="24"/>
              </w:rPr>
              <w:t>Kamu Gözetimi, Muhasebe ve Denetim Standartları Kurumu tarafından onaylanan kurumsal sürdürülebilirlik raporlaması eğitim programlarına katılım bedeli giderleri</w:t>
            </w:r>
          </w:p>
          <w:p w14:paraId="644746AE" w14:textId="027AE7FF" w:rsidR="00EB6DBF" w:rsidRPr="00FA53F6" w:rsidRDefault="00EB6DBF" w:rsidP="00EB6D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BC9EBD5" w14:textId="77777777" w:rsidR="00EB6DBF" w:rsidRPr="00FA53F6" w:rsidRDefault="00EB6DBF" w:rsidP="00EB6DBF">
      <w:pPr>
        <w:ind w:right="-425"/>
        <w:jc w:val="both"/>
        <w:rPr>
          <w:rFonts w:ascii="Times New Roman" w:hAnsi="Times New Roman" w:cs="Times New Roman"/>
          <w:sz w:val="24"/>
          <w:szCs w:val="24"/>
        </w:rPr>
      </w:pPr>
    </w:p>
    <w:sectPr w:rsidR="00EB6DBF" w:rsidRPr="00FA53F6" w:rsidSect="002468F8">
      <w:headerReference w:type="default" r:id="rId8"/>
      <w:footerReference w:type="default" r:id="rId9"/>
      <w:pgSz w:w="11906" w:h="16838" w:code="9"/>
      <w:pgMar w:top="992" w:right="851" w:bottom="244" w:left="1418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F6811" w14:textId="77777777" w:rsidR="007F2204" w:rsidRDefault="007F2204" w:rsidP="005B2EF9">
      <w:pPr>
        <w:spacing w:after="0" w:line="240" w:lineRule="auto"/>
      </w:pPr>
      <w:r>
        <w:separator/>
      </w:r>
    </w:p>
  </w:endnote>
  <w:endnote w:type="continuationSeparator" w:id="0">
    <w:p w14:paraId="375B5C19" w14:textId="77777777" w:rsidR="007F2204" w:rsidRDefault="007F2204" w:rsidP="005B2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9332905"/>
      <w:docPartObj>
        <w:docPartGallery w:val="Page Numbers (Bottom of Page)"/>
        <w:docPartUnique/>
      </w:docPartObj>
    </w:sdtPr>
    <w:sdtEndPr/>
    <w:sdtContent>
      <w:p w14:paraId="47737C08" w14:textId="77777777" w:rsidR="003143D4" w:rsidRDefault="003143D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6AD">
          <w:rPr>
            <w:noProof/>
          </w:rPr>
          <w:t>1</w:t>
        </w:r>
        <w:r>
          <w:fldChar w:fldCharType="end"/>
        </w:r>
      </w:p>
    </w:sdtContent>
  </w:sdt>
  <w:p w14:paraId="346A0869" w14:textId="77777777" w:rsidR="00DE7171" w:rsidRDefault="00DE717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6D5DC" w14:textId="77777777" w:rsidR="007F2204" w:rsidRDefault="007F2204" w:rsidP="005B2EF9">
      <w:pPr>
        <w:spacing w:after="0" w:line="240" w:lineRule="auto"/>
      </w:pPr>
      <w:r>
        <w:separator/>
      </w:r>
    </w:p>
  </w:footnote>
  <w:footnote w:type="continuationSeparator" w:id="0">
    <w:p w14:paraId="133BE4AE" w14:textId="77777777" w:rsidR="007F2204" w:rsidRDefault="007F2204" w:rsidP="005B2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BF58E" w14:textId="77777777" w:rsidR="00F13479" w:rsidRDefault="00F13479">
    <w:pPr>
      <w:pStyle w:val="stbilgi"/>
    </w:pPr>
    <w:r w:rsidRPr="00C0468A">
      <w:rPr>
        <w:rFonts w:ascii="Times New Roman" w:hAnsi="Times New Roman" w:cs="Times New Roman"/>
        <w:b/>
        <w:sz w:val="24"/>
        <w:szCs w:val="24"/>
      </w:rPr>
      <w:t>Ek-2</w:t>
    </w:r>
  </w:p>
  <w:p w14:paraId="1A2819D0" w14:textId="77777777" w:rsidR="00F13479" w:rsidRDefault="00F1347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23CEE"/>
    <w:multiLevelType w:val="hybridMultilevel"/>
    <w:tmpl w:val="7BCA7A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101BF"/>
    <w:multiLevelType w:val="hybridMultilevel"/>
    <w:tmpl w:val="5FA471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25210"/>
    <w:multiLevelType w:val="hybridMultilevel"/>
    <w:tmpl w:val="6E74C6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86AA7"/>
    <w:multiLevelType w:val="hybridMultilevel"/>
    <w:tmpl w:val="C9AA1A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A4036"/>
    <w:multiLevelType w:val="hybridMultilevel"/>
    <w:tmpl w:val="1E18C3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215F4"/>
    <w:multiLevelType w:val="hybridMultilevel"/>
    <w:tmpl w:val="F19EBB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4162A"/>
    <w:multiLevelType w:val="hybridMultilevel"/>
    <w:tmpl w:val="1A605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A21DB"/>
    <w:multiLevelType w:val="hybridMultilevel"/>
    <w:tmpl w:val="098A38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956C96"/>
    <w:multiLevelType w:val="hybridMultilevel"/>
    <w:tmpl w:val="03F4E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53B2A"/>
    <w:multiLevelType w:val="hybridMultilevel"/>
    <w:tmpl w:val="F4AE7F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A6543B"/>
    <w:multiLevelType w:val="hybridMultilevel"/>
    <w:tmpl w:val="90D82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DC7D66"/>
    <w:multiLevelType w:val="hybridMultilevel"/>
    <w:tmpl w:val="C7C440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D0A5B"/>
    <w:multiLevelType w:val="hybridMultilevel"/>
    <w:tmpl w:val="C74C30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8C7633"/>
    <w:multiLevelType w:val="hybridMultilevel"/>
    <w:tmpl w:val="C5DC1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4775E"/>
    <w:multiLevelType w:val="hybridMultilevel"/>
    <w:tmpl w:val="2ADC89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BA723E"/>
    <w:multiLevelType w:val="hybridMultilevel"/>
    <w:tmpl w:val="1D1874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F71584"/>
    <w:multiLevelType w:val="hybridMultilevel"/>
    <w:tmpl w:val="62002B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A915A0"/>
    <w:multiLevelType w:val="hybridMultilevel"/>
    <w:tmpl w:val="A65E02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9C7B51"/>
    <w:multiLevelType w:val="hybridMultilevel"/>
    <w:tmpl w:val="2AA8E2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9D56AA"/>
    <w:multiLevelType w:val="hybridMultilevel"/>
    <w:tmpl w:val="06F8C4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F64571"/>
    <w:multiLevelType w:val="hybridMultilevel"/>
    <w:tmpl w:val="7A160A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4971DB"/>
    <w:multiLevelType w:val="hybridMultilevel"/>
    <w:tmpl w:val="407420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EB715B"/>
    <w:multiLevelType w:val="hybridMultilevel"/>
    <w:tmpl w:val="FB349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56132D"/>
    <w:multiLevelType w:val="hybridMultilevel"/>
    <w:tmpl w:val="D3F619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2C1B6F"/>
    <w:multiLevelType w:val="hybridMultilevel"/>
    <w:tmpl w:val="5824C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D81CEF"/>
    <w:multiLevelType w:val="hybridMultilevel"/>
    <w:tmpl w:val="61D81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BD57F7"/>
    <w:multiLevelType w:val="hybridMultilevel"/>
    <w:tmpl w:val="F3F215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7D428A"/>
    <w:multiLevelType w:val="hybridMultilevel"/>
    <w:tmpl w:val="C3307D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272DEF"/>
    <w:multiLevelType w:val="hybridMultilevel"/>
    <w:tmpl w:val="C8A4EE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062D96"/>
    <w:multiLevelType w:val="hybridMultilevel"/>
    <w:tmpl w:val="3D0A34C4"/>
    <w:lvl w:ilvl="0" w:tplc="3AA63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1524FE"/>
    <w:multiLevelType w:val="hybridMultilevel"/>
    <w:tmpl w:val="E8D4B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775E58"/>
    <w:multiLevelType w:val="hybridMultilevel"/>
    <w:tmpl w:val="13EEF9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CC29C8"/>
    <w:multiLevelType w:val="hybridMultilevel"/>
    <w:tmpl w:val="2FEAA3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981D42"/>
    <w:multiLevelType w:val="hybridMultilevel"/>
    <w:tmpl w:val="605C24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31"/>
  </w:num>
  <w:num w:numId="4">
    <w:abstractNumId w:val="30"/>
  </w:num>
  <w:num w:numId="5">
    <w:abstractNumId w:val="17"/>
  </w:num>
  <w:num w:numId="6">
    <w:abstractNumId w:val="26"/>
  </w:num>
  <w:num w:numId="7">
    <w:abstractNumId w:val="23"/>
  </w:num>
  <w:num w:numId="8">
    <w:abstractNumId w:val="5"/>
  </w:num>
  <w:num w:numId="9">
    <w:abstractNumId w:val="7"/>
  </w:num>
  <w:num w:numId="10">
    <w:abstractNumId w:val="9"/>
  </w:num>
  <w:num w:numId="11">
    <w:abstractNumId w:val="2"/>
  </w:num>
  <w:num w:numId="12">
    <w:abstractNumId w:val="24"/>
  </w:num>
  <w:num w:numId="13">
    <w:abstractNumId w:val="0"/>
  </w:num>
  <w:num w:numId="14">
    <w:abstractNumId w:val="4"/>
  </w:num>
  <w:num w:numId="15">
    <w:abstractNumId w:val="33"/>
  </w:num>
  <w:num w:numId="16">
    <w:abstractNumId w:val="27"/>
  </w:num>
  <w:num w:numId="17">
    <w:abstractNumId w:val="21"/>
  </w:num>
  <w:num w:numId="18">
    <w:abstractNumId w:val="28"/>
  </w:num>
  <w:num w:numId="19">
    <w:abstractNumId w:val="1"/>
  </w:num>
  <w:num w:numId="20">
    <w:abstractNumId w:val="10"/>
  </w:num>
  <w:num w:numId="21">
    <w:abstractNumId w:val="3"/>
  </w:num>
  <w:num w:numId="22">
    <w:abstractNumId w:val="13"/>
  </w:num>
  <w:num w:numId="23">
    <w:abstractNumId w:val="15"/>
  </w:num>
  <w:num w:numId="24">
    <w:abstractNumId w:val="8"/>
  </w:num>
  <w:num w:numId="25">
    <w:abstractNumId w:val="25"/>
  </w:num>
  <w:num w:numId="26">
    <w:abstractNumId w:val="6"/>
  </w:num>
  <w:num w:numId="27">
    <w:abstractNumId w:val="11"/>
  </w:num>
  <w:num w:numId="28">
    <w:abstractNumId w:val="16"/>
  </w:num>
  <w:num w:numId="29">
    <w:abstractNumId w:val="32"/>
  </w:num>
  <w:num w:numId="30">
    <w:abstractNumId w:val="14"/>
  </w:num>
  <w:num w:numId="31">
    <w:abstractNumId w:val="19"/>
  </w:num>
  <w:num w:numId="32">
    <w:abstractNumId w:val="18"/>
  </w:num>
  <w:num w:numId="33">
    <w:abstractNumId w:val="22"/>
  </w:num>
  <w:num w:numId="34">
    <w:abstractNumId w:val="2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EF9"/>
    <w:rsid w:val="00000A0E"/>
    <w:rsid w:val="000045D8"/>
    <w:rsid w:val="0001090D"/>
    <w:rsid w:val="00015D8F"/>
    <w:rsid w:val="000313EC"/>
    <w:rsid w:val="00031B88"/>
    <w:rsid w:val="00031F41"/>
    <w:rsid w:val="0003216F"/>
    <w:rsid w:val="00033EFA"/>
    <w:rsid w:val="00034BD0"/>
    <w:rsid w:val="00041E78"/>
    <w:rsid w:val="00042916"/>
    <w:rsid w:val="00043833"/>
    <w:rsid w:val="0004691D"/>
    <w:rsid w:val="000515D9"/>
    <w:rsid w:val="000517EB"/>
    <w:rsid w:val="000538FE"/>
    <w:rsid w:val="000544D2"/>
    <w:rsid w:val="000567DC"/>
    <w:rsid w:val="00061C66"/>
    <w:rsid w:val="00064609"/>
    <w:rsid w:val="00066E87"/>
    <w:rsid w:val="00071A2A"/>
    <w:rsid w:val="00072CF2"/>
    <w:rsid w:val="000734EF"/>
    <w:rsid w:val="00073CD5"/>
    <w:rsid w:val="0007401B"/>
    <w:rsid w:val="0008735C"/>
    <w:rsid w:val="00093839"/>
    <w:rsid w:val="00095BED"/>
    <w:rsid w:val="000A4EF6"/>
    <w:rsid w:val="000B12FC"/>
    <w:rsid w:val="000B41D1"/>
    <w:rsid w:val="000D49E7"/>
    <w:rsid w:val="000D7ADD"/>
    <w:rsid w:val="000F49A8"/>
    <w:rsid w:val="000F667C"/>
    <w:rsid w:val="001060B9"/>
    <w:rsid w:val="00107CEB"/>
    <w:rsid w:val="00107F46"/>
    <w:rsid w:val="00112A7C"/>
    <w:rsid w:val="00113400"/>
    <w:rsid w:val="001152BA"/>
    <w:rsid w:val="00115686"/>
    <w:rsid w:val="00116C5E"/>
    <w:rsid w:val="0011714C"/>
    <w:rsid w:val="00130A34"/>
    <w:rsid w:val="0013688A"/>
    <w:rsid w:val="00141E30"/>
    <w:rsid w:val="001422BB"/>
    <w:rsid w:val="001457CE"/>
    <w:rsid w:val="00153798"/>
    <w:rsid w:val="00160C35"/>
    <w:rsid w:val="00161777"/>
    <w:rsid w:val="00171D9E"/>
    <w:rsid w:val="001726A1"/>
    <w:rsid w:val="001808E8"/>
    <w:rsid w:val="00183705"/>
    <w:rsid w:val="001938ED"/>
    <w:rsid w:val="00193E3B"/>
    <w:rsid w:val="0019475F"/>
    <w:rsid w:val="00194E6D"/>
    <w:rsid w:val="001A2F72"/>
    <w:rsid w:val="001C1593"/>
    <w:rsid w:val="001D250D"/>
    <w:rsid w:val="001D2EF6"/>
    <w:rsid w:val="001D5465"/>
    <w:rsid w:val="001F3F19"/>
    <w:rsid w:val="001F69B6"/>
    <w:rsid w:val="001F6FBA"/>
    <w:rsid w:val="001F77A5"/>
    <w:rsid w:val="00204187"/>
    <w:rsid w:val="00207622"/>
    <w:rsid w:val="002105B0"/>
    <w:rsid w:val="00216A1B"/>
    <w:rsid w:val="00222D67"/>
    <w:rsid w:val="00233095"/>
    <w:rsid w:val="00235377"/>
    <w:rsid w:val="00236D1A"/>
    <w:rsid w:val="002442C4"/>
    <w:rsid w:val="002452AF"/>
    <w:rsid w:val="002468F8"/>
    <w:rsid w:val="00246D2C"/>
    <w:rsid w:val="0025081F"/>
    <w:rsid w:val="002539CD"/>
    <w:rsid w:val="00255A61"/>
    <w:rsid w:val="00263C16"/>
    <w:rsid w:val="00271D91"/>
    <w:rsid w:val="002737E8"/>
    <w:rsid w:val="00281E3A"/>
    <w:rsid w:val="00283011"/>
    <w:rsid w:val="002A1287"/>
    <w:rsid w:val="002B2A5F"/>
    <w:rsid w:val="002C691E"/>
    <w:rsid w:val="002D0160"/>
    <w:rsid w:val="002D7AD5"/>
    <w:rsid w:val="002E18F6"/>
    <w:rsid w:val="002E20FA"/>
    <w:rsid w:val="002E3267"/>
    <w:rsid w:val="002E43AC"/>
    <w:rsid w:val="002F2336"/>
    <w:rsid w:val="002F3C9E"/>
    <w:rsid w:val="002F3E76"/>
    <w:rsid w:val="002F4250"/>
    <w:rsid w:val="002F4322"/>
    <w:rsid w:val="003000E7"/>
    <w:rsid w:val="003143D4"/>
    <w:rsid w:val="0031538D"/>
    <w:rsid w:val="00321197"/>
    <w:rsid w:val="0032487F"/>
    <w:rsid w:val="003251A1"/>
    <w:rsid w:val="00334E22"/>
    <w:rsid w:val="003373D0"/>
    <w:rsid w:val="00347D67"/>
    <w:rsid w:val="003550F8"/>
    <w:rsid w:val="00357DEA"/>
    <w:rsid w:val="003703A8"/>
    <w:rsid w:val="0037114C"/>
    <w:rsid w:val="00372157"/>
    <w:rsid w:val="0037757C"/>
    <w:rsid w:val="00383577"/>
    <w:rsid w:val="00383840"/>
    <w:rsid w:val="003838E5"/>
    <w:rsid w:val="00391721"/>
    <w:rsid w:val="00392BF8"/>
    <w:rsid w:val="003A3F6C"/>
    <w:rsid w:val="003B35E4"/>
    <w:rsid w:val="003B538C"/>
    <w:rsid w:val="003B76F9"/>
    <w:rsid w:val="003C17C9"/>
    <w:rsid w:val="003C186D"/>
    <w:rsid w:val="003C2F97"/>
    <w:rsid w:val="003C3EBC"/>
    <w:rsid w:val="003C5700"/>
    <w:rsid w:val="003C7CC3"/>
    <w:rsid w:val="003D0417"/>
    <w:rsid w:val="003E4824"/>
    <w:rsid w:val="003F519E"/>
    <w:rsid w:val="004050A7"/>
    <w:rsid w:val="00411AD2"/>
    <w:rsid w:val="00412A7F"/>
    <w:rsid w:val="00414622"/>
    <w:rsid w:val="00415124"/>
    <w:rsid w:val="00440AC1"/>
    <w:rsid w:val="0044128B"/>
    <w:rsid w:val="004432D8"/>
    <w:rsid w:val="0044473D"/>
    <w:rsid w:val="0044555E"/>
    <w:rsid w:val="00455010"/>
    <w:rsid w:val="00457905"/>
    <w:rsid w:val="00465409"/>
    <w:rsid w:val="00470CFD"/>
    <w:rsid w:val="004738DF"/>
    <w:rsid w:val="004816FF"/>
    <w:rsid w:val="00481964"/>
    <w:rsid w:val="004840C8"/>
    <w:rsid w:val="004843F4"/>
    <w:rsid w:val="0048570B"/>
    <w:rsid w:val="00490B98"/>
    <w:rsid w:val="0049653D"/>
    <w:rsid w:val="004A0DE1"/>
    <w:rsid w:val="004A795C"/>
    <w:rsid w:val="004B498C"/>
    <w:rsid w:val="004B7FDE"/>
    <w:rsid w:val="004C0095"/>
    <w:rsid w:val="004C12C2"/>
    <w:rsid w:val="004D2D77"/>
    <w:rsid w:val="004D5399"/>
    <w:rsid w:val="004E2C62"/>
    <w:rsid w:val="004F1955"/>
    <w:rsid w:val="004F39C3"/>
    <w:rsid w:val="004F4193"/>
    <w:rsid w:val="004F70F2"/>
    <w:rsid w:val="00504A3D"/>
    <w:rsid w:val="00511B05"/>
    <w:rsid w:val="00517E8A"/>
    <w:rsid w:val="00531BAA"/>
    <w:rsid w:val="00532FF3"/>
    <w:rsid w:val="0054106E"/>
    <w:rsid w:val="005475AD"/>
    <w:rsid w:val="005550C2"/>
    <w:rsid w:val="00557133"/>
    <w:rsid w:val="0056646A"/>
    <w:rsid w:val="0057387D"/>
    <w:rsid w:val="00574B4D"/>
    <w:rsid w:val="00575183"/>
    <w:rsid w:val="00576AB0"/>
    <w:rsid w:val="00582F94"/>
    <w:rsid w:val="00592866"/>
    <w:rsid w:val="00594DB1"/>
    <w:rsid w:val="00595BC8"/>
    <w:rsid w:val="005A199F"/>
    <w:rsid w:val="005A3EEE"/>
    <w:rsid w:val="005A5445"/>
    <w:rsid w:val="005A7EED"/>
    <w:rsid w:val="005B217C"/>
    <w:rsid w:val="005B2E2D"/>
    <w:rsid w:val="005B2EF9"/>
    <w:rsid w:val="005C66F0"/>
    <w:rsid w:val="005D0908"/>
    <w:rsid w:val="005D2AF8"/>
    <w:rsid w:val="005E0810"/>
    <w:rsid w:val="005E2B8D"/>
    <w:rsid w:val="005F14DC"/>
    <w:rsid w:val="0060048B"/>
    <w:rsid w:val="00601282"/>
    <w:rsid w:val="0060236A"/>
    <w:rsid w:val="006036C1"/>
    <w:rsid w:val="006113FD"/>
    <w:rsid w:val="006149FA"/>
    <w:rsid w:val="00614E58"/>
    <w:rsid w:val="00620182"/>
    <w:rsid w:val="00631706"/>
    <w:rsid w:val="00634808"/>
    <w:rsid w:val="00641644"/>
    <w:rsid w:val="00654D5E"/>
    <w:rsid w:val="00660555"/>
    <w:rsid w:val="00671A02"/>
    <w:rsid w:val="006743D4"/>
    <w:rsid w:val="006763E1"/>
    <w:rsid w:val="006833A4"/>
    <w:rsid w:val="0069122B"/>
    <w:rsid w:val="00691279"/>
    <w:rsid w:val="00693259"/>
    <w:rsid w:val="00696165"/>
    <w:rsid w:val="006B13C6"/>
    <w:rsid w:val="006C0686"/>
    <w:rsid w:val="006C1C82"/>
    <w:rsid w:val="00701038"/>
    <w:rsid w:val="00714398"/>
    <w:rsid w:val="007159BF"/>
    <w:rsid w:val="00717C82"/>
    <w:rsid w:val="00722F98"/>
    <w:rsid w:val="00730243"/>
    <w:rsid w:val="00733459"/>
    <w:rsid w:val="00741514"/>
    <w:rsid w:val="00744A43"/>
    <w:rsid w:val="00755786"/>
    <w:rsid w:val="00763A81"/>
    <w:rsid w:val="007679C1"/>
    <w:rsid w:val="00771AC0"/>
    <w:rsid w:val="00772DD5"/>
    <w:rsid w:val="00776360"/>
    <w:rsid w:val="00777AD1"/>
    <w:rsid w:val="0078057D"/>
    <w:rsid w:val="007866ED"/>
    <w:rsid w:val="00787ACD"/>
    <w:rsid w:val="00791D5C"/>
    <w:rsid w:val="007941DD"/>
    <w:rsid w:val="007966D1"/>
    <w:rsid w:val="007A1BE0"/>
    <w:rsid w:val="007A7E53"/>
    <w:rsid w:val="007B07AF"/>
    <w:rsid w:val="007B2B75"/>
    <w:rsid w:val="007D6929"/>
    <w:rsid w:val="007D717A"/>
    <w:rsid w:val="007E3270"/>
    <w:rsid w:val="007F2204"/>
    <w:rsid w:val="007F398D"/>
    <w:rsid w:val="007F7652"/>
    <w:rsid w:val="008008EF"/>
    <w:rsid w:val="008014CF"/>
    <w:rsid w:val="00813E87"/>
    <w:rsid w:val="00814999"/>
    <w:rsid w:val="00815353"/>
    <w:rsid w:val="0081681E"/>
    <w:rsid w:val="00826C58"/>
    <w:rsid w:val="00827915"/>
    <w:rsid w:val="00827EC5"/>
    <w:rsid w:val="00853F22"/>
    <w:rsid w:val="008618C5"/>
    <w:rsid w:val="00864547"/>
    <w:rsid w:val="0086787E"/>
    <w:rsid w:val="00871FE7"/>
    <w:rsid w:val="00874E89"/>
    <w:rsid w:val="0087519F"/>
    <w:rsid w:val="008870D9"/>
    <w:rsid w:val="00891472"/>
    <w:rsid w:val="0089423C"/>
    <w:rsid w:val="00894690"/>
    <w:rsid w:val="00894FEE"/>
    <w:rsid w:val="008972EB"/>
    <w:rsid w:val="008A3AE3"/>
    <w:rsid w:val="008B0C3C"/>
    <w:rsid w:val="008B0E43"/>
    <w:rsid w:val="008B32DE"/>
    <w:rsid w:val="008C0BD7"/>
    <w:rsid w:val="008C34C1"/>
    <w:rsid w:val="008C54DB"/>
    <w:rsid w:val="008D296E"/>
    <w:rsid w:val="008E00CA"/>
    <w:rsid w:val="008E10E2"/>
    <w:rsid w:val="008F11BA"/>
    <w:rsid w:val="008F2139"/>
    <w:rsid w:val="0090137A"/>
    <w:rsid w:val="009044AC"/>
    <w:rsid w:val="009061A9"/>
    <w:rsid w:val="00907268"/>
    <w:rsid w:val="009218E8"/>
    <w:rsid w:val="00943735"/>
    <w:rsid w:val="00953E16"/>
    <w:rsid w:val="00957FDA"/>
    <w:rsid w:val="009678D5"/>
    <w:rsid w:val="00971CA2"/>
    <w:rsid w:val="00975668"/>
    <w:rsid w:val="00977780"/>
    <w:rsid w:val="009812C3"/>
    <w:rsid w:val="00983FE4"/>
    <w:rsid w:val="00991132"/>
    <w:rsid w:val="00993370"/>
    <w:rsid w:val="009A0BF3"/>
    <w:rsid w:val="009A273F"/>
    <w:rsid w:val="009A4A86"/>
    <w:rsid w:val="009B2A86"/>
    <w:rsid w:val="009B4570"/>
    <w:rsid w:val="009B5E49"/>
    <w:rsid w:val="009C2A1E"/>
    <w:rsid w:val="009D371F"/>
    <w:rsid w:val="009D7E9F"/>
    <w:rsid w:val="009E0F4F"/>
    <w:rsid w:val="009E13F0"/>
    <w:rsid w:val="009F5577"/>
    <w:rsid w:val="009F6BD6"/>
    <w:rsid w:val="00A02BA7"/>
    <w:rsid w:val="00A23F96"/>
    <w:rsid w:val="00A31B78"/>
    <w:rsid w:val="00A32EDE"/>
    <w:rsid w:val="00A43A41"/>
    <w:rsid w:val="00A44BCF"/>
    <w:rsid w:val="00A45D6C"/>
    <w:rsid w:val="00A47E01"/>
    <w:rsid w:val="00A54E1C"/>
    <w:rsid w:val="00A70B12"/>
    <w:rsid w:val="00A752B7"/>
    <w:rsid w:val="00A83C6F"/>
    <w:rsid w:val="00A84A4D"/>
    <w:rsid w:val="00A94471"/>
    <w:rsid w:val="00AA0346"/>
    <w:rsid w:val="00AA3531"/>
    <w:rsid w:val="00AA40F3"/>
    <w:rsid w:val="00AB0FCA"/>
    <w:rsid w:val="00AB77F6"/>
    <w:rsid w:val="00AC1B41"/>
    <w:rsid w:val="00AF31A7"/>
    <w:rsid w:val="00AF41B3"/>
    <w:rsid w:val="00AF513C"/>
    <w:rsid w:val="00AF523A"/>
    <w:rsid w:val="00B11756"/>
    <w:rsid w:val="00B2799F"/>
    <w:rsid w:val="00B368E0"/>
    <w:rsid w:val="00B411C1"/>
    <w:rsid w:val="00B51703"/>
    <w:rsid w:val="00B61D8E"/>
    <w:rsid w:val="00B67C14"/>
    <w:rsid w:val="00B7757D"/>
    <w:rsid w:val="00B802D0"/>
    <w:rsid w:val="00B8041B"/>
    <w:rsid w:val="00B81679"/>
    <w:rsid w:val="00B9442A"/>
    <w:rsid w:val="00BA34FA"/>
    <w:rsid w:val="00BB2F1B"/>
    <w:rsid w:val="00BC40C0"/>
    <w:rsid w:val="00BD3E4A"/>
    <w:rsid w:val="00BE157B"/>
    <w:rsid w:val="00BE199F"/>
    <w:rsid w:val="00BE1F5D"/>
    <w:rsid w:val="00BE5547"/>
    <w:rsid w:val="00BF2742"/>
    <w:rsid w:val="00BF486D"/>
    <w:rsid w:val="00BF7B55"/>
    <w:rsid w:val="00C00E3C"/>
    <w:rsid w:val="00C02EAC"/>
    <w:rsid w:val="00C0468A"/>
    <w:rsid w:val="00C05713"/>
    <w:rsid w:val="00C1309C"/>
    <w:rsid w:val="00C168A9"/>
    <w:rsid w:val="00C1781D"/>
    <w:rsid w:val="00C201AB"/>
    <w:rsid w:val="00C30BAE"/>
    <w:rsid w:val="00C31CDD"/>
    <w:rsid w:val="00C3574A"/>
    <w:rsid w:val="00C4318D"/>
    <w:rsid w:val="00C457F5"/>
    <w:rsid w:val="00C56478"/>
    <w:rsid w:val="00C619D6"/>
    <w:rsid w:val="00C661D3"/>
    <w:rsid w:val="00C67CA0"/>
    <w:rsid w:val="00C67CAE"/>
    <w:rsid w:val="00C7463D"/>
    <w:rsid w:val="00C86FBF"/>
    <w:rsid w:val="00C91FD8"/>
    <w:rsid w:val="00CA4435"/>
    <w:rsid w:val="00CA795C"/>
    <w:rsid w:val="00CB02BF"/>
    <w:rsid w:val="00CB02D8"/>
    <w:rsid w:val="00CC17AA"/>
    <w:rsid w:val="00CC578D"/>
    <w:rsid w:val="00CD2D88"/>
    <w:rsid w:val="00CD4314"/>
    <w:rsid w:val="00CD431B"/>
    <w:rsid w:val="00CD545C"/>
    <w:rsid w:val="00CD667B"/>
    <w:rsid w:val="00CD6884"/>
    <w:rsid w:val="00CD74FD"/>
    <w:rsid w:val="00CE0481"/>
    <w:rsid w:val="00CF4CF2"/>
    <w:rsid w:val="00CF50FE"/>
    <w:rsid w:val="00D00A22"/>
    <w:rsid w:val="00D0439D"/>
    <w:rsid w:val="00D05323"/>
    <w:rsid w:val="00D20171"/>
    <w:rsid w:val="00D214D1"/>
    <w:rsid w:val="00D23750"/>
    <w:rsid w:val="00D25738"/>
    <w:rsid w:val="00D30EDA"/>
    <w:rsid w:val="00D423A6"/>
    <w:rsid w:val="00D476EF"/>
    <w:rsid w:val="00D47979"/>
    <w:rsid w:val="00D50FE3"/>
    <w:rsid w:val="00D61504"/>
    <w:rsid w:val="00D61D5B"/>
    <w:rsid w:val="00D632BA"/>
    <w:rsid w:val="00D6384D"/>
    <w:rsid w:val="00D6495A"/>
    <w:rsid w:val="00D6743E"/>
    <w:rsid w:val="00D7174A"/>
    <w:rsid w:val="00D8613F"/>
    <w:rsid w:val="00D8794A"/>
    <w:rsid w:val="00DA7560"/>
    <w:rsid w:val="00DB3C24"/>
    <w:rsid w:val="00DB7EAA"/>
    <w:rsid w:val="00DC3865"/>
    <w:rsid w:val="00DC56AC"/>
    <w:rsid w:val="00DC7B0D"/>
    <w:rsid w:val="00DD34E1"/>
    <w:rsid w:val="00DD34F6"/>
    <w:rsid w:val="00DE66AD"/>
    <w:rsid w:val="00DE7171"/>
    <w:rsid w:val="00DF15B9"/>
    <w:rsid w:val="00E00E1D"/>
    <w:rsid w:val="00E07175"/>
    <w:rsid w:val="00E216C6"/>
    <w:rsid w:val="00E2286B"/>
    <w:rsid w:val="00E30BF6"/>
    <w:rsid w:val="00E36F38"/>
    <w:rsid w:val="00E37704"/>
    <w:rsid w:val="00E42332"/>
    <w:rsid w:val="00E43FC1"/>
    <w:rsid w:val="00E46D12"/>
    <w:rsid w:val="00E53FF9"/>
    <w:rsid w:val="00E57372"/>
    <w:rsid w:val="00E64AAA"/>
    <w:rsid w:val="00E64B08"/>
    <w:rsid w:val="00E6593E"/>
    <w:rsid w:val="00E70383"/>
    <w:rsid w:val="00E71F5A"/>
    <w:rsid w:val="00E76709"/>
    <w:rsid w:val="00E872C3"/>
    <w:rsid w:val="00E87DD0"/>
    <w:rsid w:val="00E927F5"/>
    <w:rsid w:val="00EA51FD"/>
    <w:rsid w:val="00EA5F34"/>
    <w:rsid w:val="00EA5FE0"/>
    <w:rsid w:val="00EB1E13"/>
    <w:rsid w:val="00EB55CE"/>
    <w:rsid w:val="00EB6DBF"/>
    <w:rsid w:val="00EC0315"/>
    <w:rsid w:val="00EC14C3"/>
    <w:rsid w:val="00EC60BC"/>
    <w:rsid w:val="00ED1197"/>
    <w:rsid w:val="00ED5396"/>
    <w:rsid w:val="00ED7715"/>
    <w:rsid w:val="00EE124B"/>
    <w:rsid w:val="00EE56A4"/>
    <w:rsid w:val="00EE6430"/>
    <w:rsid w:val="00EF15B9"/>
    <w:rsid w:val="00EF3CC9"/>
    <w:rsid w:val="00EF40A4"/>
    <w:rsid w:val="00EF45E0"/>
    <w:rsid w:val="00EF54B4"/>
    <w:rsid w:val="00F06F6B"/>
    <w:rsid w:val="00F07B18"/>
    <w:rsid w:val="00F13479"/>
    <w:rsid w:val="00F256E6"/>
    <w:rsid w:val="00F3502C"/>
    <w:rsid w:val="00F371C6"/>
    <w:rsid w:val="00F425F7"/>
    <w:rsid w:val="00F43FC0"/>
    <w:rsid w:val="00F44B5F"/>
    <w:rsid w:val="00F55EEA"/>
    <w:rsid w:val="00F67208"/>
    <w:rsid w:val="00F7049C"/>
    <w:rsid w:val="00F72057"/>
    <w:rsid w:val="00F751C2"/>
    <w:rsid w:val="00F77759"/>
    <w:rsid w:val="00F830ED"/>
    <w:rsid w:val="00F91EE0"/>
    <w:rsid w:val="00F93FE4"/>
    <w:rsid w:val="00FA53F6"/>
    <w:rsid w:val="00FB3209"/>
    <w:rsid w:val="00FB3B7F"/>
    <w:rsid w:val="00FC24D8"/>
    <w:rsid w:val="00FD5E52"/>
    <w:rsid w:val="00FF4367"/>
    <w:rsid w:val="00FF4BC6"/>
    <w:rsid w:val="00FF661B"/>
    <w:rsid w:val="00FF795C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FF530"/>
  <w15:docId w15:val="{D413696C-4FF9-464C-B7C7-2D70D1C4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13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2EF9"/>
  </w:style>
  <w:style w:type="paragraph" w:styleId="Altbilgi">
    <w:name w:val="footer"/>
    <w:basedOn w:val="Normal"/>
    <w:link w:val="AltbilgiChar"/>
    <w:uiPriority w:val="99"/>
    <w:unhideWhenUsed/>
    <w:rsid w:val="005B2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2EF9"/>
  </w:style>
  <w:style w:type="character" w:customStyle="1" w:styleId="apple-converted-space">
    <w:name w:val="apple-converted-space"/>
    <w:basedOn w:val="VarsaylanParagrafYazTipi"/>
    <w:rsid w:val="009E13F0"/>
  </w:style>
  <w:style w:type="character" w:styleId="Gl">
    <w:name w:val="Strong"/>
    <w:basedOn w:val="VarsaylanParagrafYazTipi"/>
    <w:uiPriority w:val="22"/>
    <w:qFormat/>
    <w:rsid w:val="009E13F0"/>
    <w:rPr>
      <w:b/>
      <w:bCs/>
    </w:rPr>
  </w:style>
  <w:style w:type="paragraph" w:styleId="ListeParagraf">
    <w:name w:val="List Paragraph"/>
    <w:basedOn w:val="Normal"/>
    <w:uiPriority w:val="34"/>
    <w:qFormat/>
    <w:rsid w:val="001617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4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43AC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CF5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470CF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70CF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70CF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70CF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70CFD"/>
    <w:rPr>
      <w:b/>
      <w:bCs/>
      <w:sz w:val="20"/>
      <w:szCs w:val="20"/>
    </w:rPr>
  </w:style>
  <w:style w:type="paragraph" w:customStyle="1" w:styleId="Default">
    <w:name w:val="Default"/>
    <w:rsid w:val="00F425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C14E9-F848-43CF-B4CB-F4A72FB6B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Ekonomi Bakanlığı</Company>
  <LinksUpToDate>false</LinksUpToDate>
  <CharactersWithSpaces>10060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Ceyda Kahya Yılmaz</dc:creator>
  <cp:keywords/>
  <dc:description/>
  <cp:lastModifiedBy>Microsoft hesabı</cp:lastModifiedBy>
  <cp:revision>2</cp:revision>
  <cp:lastPrinted>2025-10-09T13:32:00Z</cp:lastPrinted>
  <dcterms:created xsi:type="dcterms:W3CDTF">2025-12-08T12:20:00Z</dcterms:created>
  <dcterms:modified xsi:type="dcterms:W3CDTF">2025-12-08T12:20:00Z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user=36319298258</vt:lpwstr>
  </property>
  <property fmtid="{D5CDD505-2E9C-101B-9397-08002B2CF9AE}" pid="4" name="geodilabeltime">
    <vt:lpwstr>datetime=2024-06-06T08:20:21.509Z</vt:lpwstr>
  </property>
</Properties>
</file>