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FB0C" w14:textId="77777777" w:rsidR="00DA51DA" w:rsidRPr="00DA51DA" w:rsidRDefault="00DA51DA" w:rsidP="00DA51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Halk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Gıda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</w:t>
      </w:r>
      <w:proofErr w:type="spellEnd"/>
    </w:p>
    <w:p w14:paraId="7B6CE18F" w14:textId="77777777" w:rsidR="00DA51DA" w:rsidRPr="00DA51DA" w:rsidRDefault="00DA51DA" w:rsidP="00DA5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(14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Direktifi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No. 280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 Haziran 2026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yürürlüğe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girecektir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)</w:t>
      </w:r>
    </w:p>
    <w:p w14:paraId="1B1621D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B1DD8F4" w14:textId="77777777" w:rsidR="00DA51DA" w:rsidRPr="00DA51DA" w:rsidRDefault="00DA51DA" w:rsidP="00DA5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Bölüm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1 Genel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Hükümler</w:t>
      </w:r>
      <w:proofErr w:type="spellEnd"/>
    </w:p>
    <w:p w14:paraId="0318CEE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güçlendirmek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Halk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Kanunu"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Halk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İhracat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Malları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Kanunu"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Halk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Giriş-Çıkış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Hayvan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Bitki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Karantinası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Kanunu"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"Devlet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Konseyi'nin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vb.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Ürünlerin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Denetimini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Güçlendirmeye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İlişkin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Özel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idari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düzenlemelere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dayanılarak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hazırlanmıştır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9C71C1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68E38FD" w14:textId="147D36FD" w:rsid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2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yurtdışındaki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depolama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anılacaktır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22B35191" w14:textId="77777777" w:rsidR="00864D99" w:rsidRPr="00DA51DA" w:rsidRDefault="00864D99" w:rsidP="00DA51DA">
      <w:pPr>
        <w:rPr>
          <w:rFonts w:ascii="Times New Roman" w:hAnsi="Times New Roman" w:cs="Times New Roman"/>
          <w:sz w:val="24"/>
          <w:szCs w:val="24"/>
        </w:rPr>
      </w:pPr>
    </w:p>
    <w:p w14:paraId="692D121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Önceki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fıkrada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katkı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temas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malzemelerin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depolama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kapsamaz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11B971C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A80BAB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3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işlerinden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sorumludur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7885C3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2545BB5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4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altına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alınmalıdır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F312AE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C48F85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ilkesine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dayanarak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sonuçlarına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seviyesi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sınıflandırılmış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buna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prosedürleri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gereksinimlerini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66C7355" w14:textId="77777777" w:rsidR="00E60B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riskinde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kanıtlar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gereksinimlerinde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ayarlamalar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yapabilir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9914729" w14:textId="77777777" w:rsid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563F471" w14:textId="77777777" w:rsidR="00DA51DA" w:rsidRPr="00DA51DA" w:rsidRDefault="00DA51DA" w:rsidP="00DA5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Bölüm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Koşulları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Prosedürleri</w:t>
      </w:r>
      <w:proofErr w:type="spellEnd"/>
    </w:p>
    <w:p w14:paraId="76A5795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452C630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hammadde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kaynağı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geçmiş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tüketici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grupları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tüketim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şekli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faktörlerin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analizine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dayanarak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uygulamalarla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değerlendirerek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anılacaktır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kamuoyuna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duyurur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2E009B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7E27DB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lastRenderedPageBreak/>
        <w:t xml:space="preserve">Madde 7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koşulları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şunlardır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46FD981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kurulmuş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09C096A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kurmuş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ihracat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standartlarına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garanti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3C5F640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varılan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r>
        <w:rPr>
          <w:rFonts w:ascii="Times New Roman" w:hAnsi="Times New Roman" w:cs="Times New Roman" w:hint="eastAsia"/>
          <w:sz w:val="24"/>
          <w:szCs w:val="24"/>
        </w:rPr>
        <w:t>muayene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ve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karantina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28D033C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6C1F27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97F4E4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8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mektubu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3EB5A4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6F33720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9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vekil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aracılığıyla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4B969E9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6C4EEA22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kimlik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örneğin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2A790E0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11C80DC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mektubunu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D8828A0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Gerektiğinde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tipi,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talep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edebilir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2B8B5E8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CB5AB7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10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temsilci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irtibat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kişisi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iletişim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onaylanmış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türleri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içermelidir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07FF94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488BEF9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11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Çince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kullanılmalıdır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B734DEC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doğruluğu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bütünlüğü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yasallığından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sorumludur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181226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6212018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12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seviyesine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kendisi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kurumları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görevlendirerek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bunların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kombinasyonlarıyla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7D109F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yukarıdaki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çalışmalarına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yardımcı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977D02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64791AF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13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150C7BC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AF5596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14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ambalajı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üzerinde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onaylanmış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belirtmelidir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173DBF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64CBB11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yıldır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5555E9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başlangıç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bitiş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71B09F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35A48A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olmuş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9A14B0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0BC79BF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17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tanınması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sağlayarak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uygulayabilir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03B71F7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ihracat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anlaşması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imzalamış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233EA55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içeren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anlaşma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zaptı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ortak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imzalamış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3559F2A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uygulanabileceğini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düşündüğü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6BE56F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F1B365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18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uygulandığında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31FFB38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3997A77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Maddesinde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0A00ADD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fıkrasına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5719E5A0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kararlaştırılan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sorumlulukları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getirme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taahhüdü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C153F0E" w14:textId="77777777" w:rsidR="00061100" w:rsidRDefault="00DA51DA" w:rsidP="00DA51DA"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  <w:r w:rsidRPr="00DA51DA">
        <w:t xml:space="preserve"> </w:t>
      </w:r>
    </w:p>
    <w:p w14:paraId="4F693412" w14:textId="77777777" w:rsidR="00061100" w:rsidRDefault="00061100" w:rsidP="00DA51DA"/>
    <w:p w14:paraId="178B00C5" w14:textId="2620B269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Koşulları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Prosedürleri</w:t>
      </w:r>
      <w:proofErr w:type="spellEnd"/>
    </w:p>
    <w:p w14:paraId="4AA950A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C87A3E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hammadde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kaynağı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geçmiş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tüketici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grupları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tüketim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şekli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faktörlerin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analizine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dayanarak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uygulamalarla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değerlendirerek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anılacaktır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kamuoyuna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duyurur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AA8C11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703A0B0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7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koşulları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şunlardır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01384EE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kurulmuş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68382BB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kurmuş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ihracat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standartlarına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garanti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4DF1FAF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varılan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r>
        <w:rPr>
          <w:rFonts w:ascii="Times New Roman" w:hAnsi="Times New Roman" w:cs="Times New Roman" w:hint="eastAsia"/>
          <w:sz w:val="24"/>
          <w:szCs w:val="24"/>
        </w:rPr>
        <w:t>muayene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ve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karantina</w:t>
      </w:r>
      <w:r w:rsidRPr="00DA51DA">
        <w:rPr>
          <w:rFonts w:ascii="Times New Roman" w:hAnsi="Times New Roman" w:cs="Times New Roman"/>
          <w:sz w:val="24"/>
          <w:szCs w:val="24"/>
        </w:rPr>
        <w:t>gerekliliklerine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736128C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0727AD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2E09A12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8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mektubu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D83954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0C03B95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9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vekil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aracılığıyla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05E9F69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7BA5598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kimlik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örneğin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1168F1C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2112A4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mektubunu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78EBED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Gerektiğinde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tipi,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talep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edebilir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A3C96B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16F2CC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10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temsilci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irtibat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kişisi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iletişim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onaylanmış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türleri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içermelidir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11155B2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B57D6D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11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Çince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kullanılmalıdır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3D9DBD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doğruluğu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bütünlüğü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yasallığından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sorumludur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7D4542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7AE004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12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seviyesine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kendisi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kurumları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görevlendirerek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bunların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kombinasyonlarıyla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94EDF3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yukarıdaki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çalışmalarına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yardımcı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11D63F6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634A7CD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13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BA4806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0DEB4A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14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ambalajı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üzerinde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onaylanmış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belirtmelidir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AC53E3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2BF08BC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yıldır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462E924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başlangıç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bitiş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3AE90D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AF7B39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olmuş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BB2859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ABCFAB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17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tanınması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sağlayarak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uygulayabilir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7EEAB26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ihracat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anlaşması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imzalamış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0CCB835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içeren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anlaşma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zaptı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ortak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imzalamış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767AA41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uygulanabileceğini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düşündüğü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9F6712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E60D5B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18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uygulandığında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43F4A04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1AB6B8B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Maddesinde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6ED8F8E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fıkrasına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14D2A1F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kararlaştırılan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sorumlulukları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getirme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taahhüdü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F9D7DE3" w14:textId="77777777" w:rsid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7F36DE5" w14:textId="77777777" w:rsid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20CBAA8F" w14:textId="77777777" w:rsid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405AE48D" w14:textId="77777777" w:rsidR="00DA51DA" w:rsidRPr="00DA51DA" w:rsidRDefault="00DA51DA" w:rsidP="00DA5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Bölüm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Yönetim</w:t>
      </w:r>
      <w:proofErr w:type="spellEnd"/>
    </w:p>
    <w:p w14:paraId="79FEBC5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C8BCAD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19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seviyesine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kendisi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kurumları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görevlendirerek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karşılayıp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karşılamadığını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denetlemek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9F087C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yukarıdaki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çalışmalarına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yardımcı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B95743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2F98788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20 Kaydın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yoluyla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başvurusunda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sunulmalıdır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0754104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unsurları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karşılaştırma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tablosu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3F017A1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bilgileriyle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kanıtlayıcı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6B4A4D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kanaat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getirirse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onaylar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taşınması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temsilcinin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üzerinde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önemli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etkisi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varlığı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onaylamaz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işletmeyi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başvurusunda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teşvik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tarihinden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itibaren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geçersiz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gelir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4B24643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4E26180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21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dolduğunda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varlığı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hariç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uzatılır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uzatma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yıldır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2673BFC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uzatılmayan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4190C780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nedeniyle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sürecinde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6A4258A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askıya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E50191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Önceki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fıkranın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bendinde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uzatılmayan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1DF956C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697412B2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22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uzatılmayan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gerekiyorsa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dolmasından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12 ay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önce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yoluyla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başvurusunda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. Kaydın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şunları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içerir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24FE14E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Kaydın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42758EE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karşılayacağına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32F826B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karşıladığına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4F1D21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ettirir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uzatılır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C1551C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8EF640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23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varlığı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iptal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kamuoyuna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duyurur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72DE7DC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Kaydın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usulüne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başvurmamış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5C8BE51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iptali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7DE0FE1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fıkrasının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bendindeki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artık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B7FDA6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2EA373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24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sorumluluğunu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getirmeli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sağlamalı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karşılamadığını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ettiğinde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derhal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önleme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azaltma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tedbirleri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ihracatını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askıya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bildirimde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faaliyette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sürdürmelidir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E555A1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karşılamadığını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ettiğinde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ihracatını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durdurmalı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derhal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tedbirler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tedbirleri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sürdürmelidir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B6D78F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01C6BBC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25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artık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karşılamadığını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ettiğinde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işletmeyi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faaliyette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teşvik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faaliyetleri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denetlemek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süresince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askıya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alınmalıdır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401E9A8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faaliyetlerini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tamamladıktan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11B3A0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İdaresi,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faaliyet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başlatmalıdır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C8F3C7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E0EC9F0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26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dayanarak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askıya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başlatması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865E4E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80CA27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27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varlığı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iptal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17C213B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kendi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nedenleriyle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büyük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olayı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meydana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gelmesi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0B7A1A0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DA51DA">
        <w:rPr>
          <w:rFonts w:ascii="Times New Roman" w:hAnsi="Times New Roman" w:cs="Times New Roman" w:hint="eastAsia"/>
          <w:sz w:val="24"/>
          <w:szCs w:val="24"/>
        </w:rPr>
        <w:t>检验检疫</w:t>
      </w:r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karantina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sorunları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ciddi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66458F9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ciddi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sorunlar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ettiği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garanti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edememesi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15A2F9F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faaliyetlerden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DA51DA">
        <w:rPr>
          <w:rFonts w:ascii="Times New Roman" w:hAnsi="Times New Roman" w:cs="Times New Roman" w:hint="eastAsia"/>
          <w:sz w:val="24"/>
          <w:szCs w:val="24"/>
        </w:rPr>
        <w:t>仍</w:t>
      </w:r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de)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285C253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Sahte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gizlemesi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720D6AF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olay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soruşturması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yapmasına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ısrarla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yardımcı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07CCEBA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kiralaması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ödünç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devretmesi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satması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başkasının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kullanımına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5B795DC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yeterliliği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koşullarını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izni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verilmesi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5A0F7BA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(9) Yasa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iptal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edilebileceği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1F077FC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DBD9B0E" w14:textId="77777777" w:rsidR="00DA51DA" w:rsidRPr="00DA51DA" w:rsidRDefault="00DA51DA" w:rsidP="00DA5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Bölüm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4 Ek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Hükümler</w:t>
      </w:r>
      <w:proofErr w:type="spellEnd"/>
    </w:p>
    <w:p w14:paraId="6DF256E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04FCCEA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28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askıya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askıya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alma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boyunca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edilmez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18FFA4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B81AFC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29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konusunda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başka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anlaşması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yürütülür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940C5B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44EF1E8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30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tabi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tutulması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depolama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kapsamı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247321D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Birincil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tarımsal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ürünleri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FE63E8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Sınır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yoluyla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perakende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düzenlemelere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yürütülür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EF9797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3B59B8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31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denetiminden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departmanı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ifade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191C670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1A9616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32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yorumlanır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A0B129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65D5516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Madde 33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1 Haziran 2026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tarihinden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itibaren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yürürlüğe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girer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. 12 Nisan 2021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Direktifi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No. 248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Halk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Yönetmeliği"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yürürlükten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kalkar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sectPr w:rsidR="00DA51DA" w:rsidRPr="00DA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DA"/>
    <w:rsid w:val="00061100"/>
    <w:rsid w:val="00645FAF"/>
    <w:rsid w:val="00864D99"/>
    <w:rsid w:val="008E1B60"/>
    <w:rsid w:val="00DA51DA"/>
    <w:rsid w:val="00E60BDA"/>
    <w:rsid w:val="00F240BE"/>
    <w:rsid w:val="00F4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36AC"/>
  <w15:chartTrackingRefBased/>
  <w15:docId w15:val="{66AFAE23-964A-4193-AE91-E9C6337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3095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HALİS GÜNEŞ</cp:lastModifiedBy>
  <cp:revision>2</cp:revision>
  <dcterms:created xsi:type="dcterms:W3CDTF">2025-10-22T11:22:00Z</dcterms:created>
  <dcterms:modified xsi:type="dcterms:W3CDTF">2025-10-22T11:22:00Z</dcterms:modified>
</cp:coreProperties>
</file>