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768"/>
      </w:tblGrid>
      <w:tr w:rsidR="007130AF" w:rsidRPr="003241CD" w:rsidTr="004E5FFF">
        <w:trPr>
          <w:cantSplit/>
          <w:trHeight w:val="142"/>
        </w:trPr>
        <w:tc>
          <w:tcPr>
            <w:tcW w:w="1868" w:type="dxa"/>
            <w:vMerge w:val="restart"/>
          </w:tcPr>
          <w:p w:rsidR="007130AF" w:rsidRPr="003241CD" w:rsidRDefault="003B22E0" w:rsidP="007130AF">
            <w:pPr>
              <w:rPr>
                <w:rFonts w:ascii="Cambria" w:hAnsi="Cambria"/>
              </w:rPr>
            </w:pPr>
            <w:bookmarkStart w:id="0" w:name="_GoBack"/>
            <w:bookmarkEnd w:id="0"/>
            <w:r w:rsidRPr="003241CD">
              <w:rPr>
                <w:rFonts w:ascii="Cambria" w:hAnsi="Cambria"/>
              </w:rPr>
              <w:drawing>
                <wp:inline distT="0" distB="0" distL="0" distR="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7130AF" w:rsidRPr="003241CD" w:rsidRDefault="000D354D">
            <w:pPr>
              <w:jc w:val="right"/>
              <w:rPr>
                <w:rFonts w:ascii="Cambria" w:hAnsi="Cambria"/>
              </w:rPr>
            </w:pPr>
            <w:r w:rsidRPr="003241CD">
              <w:rPr>
                <w:rFonts w:ascii="Cambria" w:hAnsi="Cambria"/>
              </w:rPr>
              <w:t>Sayfa 1/</w:t>
            </w:r>
            <w:r w:rsidR="006A0E6B" w:rsidRPr="003241CD">
              <w:rPr>
                <w:rFonts w:ascii="Cambria" w:hAnsi="Cambria"/>
              </w:rPr>
              <w:t>3</w:t>
            </w:r>
          </w:p>
        </w:tc>
      </w:tr>
      <w:tr w:rsidR="007130AF" w:rsidRPr="003241CD">
        <w:trPr>
          <w:cantSplit/>
          <w:trHeight w:val="479"/>
        </w:trPr>
        <w:tc>
          <w:tcPr>
            <w:tcW w:w="1868" w:type="dxa"/>
            <w:vMerge/>
          </w:tcPr>
          <w:p w:rsidR="007130AF" w:rsidRPr="003241CD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122B83" w:rsidRPr="003241CD" w:rsidRDefault="00122B83">
            <w:pPr>
              <w:pStyle w:val="Balk1"/>
              <w:jc w:val="left"/>
              <w:rPr>
                <w:rFonts w:ascii="Cambria" w:hAnsi="Cambria" w:cs="Arial"/>
                <w:sz w:val="24"/>
              </w:rPr>
            </w:pPr>
            <w:bookmarkStart w:id="1" w:name="_Toc56407686"/>
            <w:r w:rsidRPr="003241CD">
              <w:rPr>
                <w:rFonts w:ascii="Cambria" w:hAnsi="Cambria" w:cs="Arial"/>
                <w:sz w:val="24"/>
              </w:rPr>
              <w:t>TÜRK STANDARDI</w:t>
            </w:r>
            <w:bookmarkEnd w:id="1"/>
          </w:p>
          <w:p w:rsidR="00122B83" w:rsidRPr="003241CD" w:rsidRDefault="00122B83" w:rsidP="00C64D39">
            <w:pPr>
              <w:rPr>
                <w:rFonts w:ascii="Cambria" w:hAnsi="Cambria"/>
              </w:rPr>
            </w:pPr>
            <w:r w:rsidRPr="003241CD">
              <w:rPr>
                <w:rFonts w:ascii="Cambria" w:hAnsi="Cambria"/>
                <w:i/>
                <w:iCs/>
              </w:rPr>
              <w:t>TURKISH STANDARD</w:t>
            </w:r>
          </w:p>
        </w:tc>
      </w:tr>
      <w:tr w:rsidR="007130AF" w:rsidRPr="003241CD">
        <w:trPr>
          <w:cantSplit/>
          <w:trHeight w:val="242"/>
        </w:trPr>
        <w:tc>
          <w:tcPr>
            <w:tcW w:w="1868" w:type="dxa"/>
            <w:vMerge/>
          </w:tcPr>
          <w:p w:rsidR="007130AF" w:rsidRPr="003241CD" w:rsidRDefault="007130AF" w:rsidP="007130AF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7130AF" w:rsidRPr="003241CD" w:rsidRDefault="007130AF" w:rsidP="007130AF">
            <w:pPr>
              <w:rPr>
                <w:rFonts w:ascii="Cambria" w:hAnsi="Cambria"/>
              </w:rPr>
            </w:pPr>
          </w:p>
        </w:tc>
      </w:tr>
    </w:tbl>
    <w:p w:rsidR="007130AF" w:rsidRPr="003241CD" w:rsidRDefault="007130AF" w:rsidP="007130AF">
      <w:pPr>
        <w:rPr>
          <w:rFonts w:ascii="Cambria" w:hAnsi="Cambria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3241CD">
        <w:trPr>
          <w:cantSplit/>
          <w:trHeight w:val="281"/>
        </w:trPr>
        <w:tc>
          <w:tcPr>
            <w:tcW w:w="3739" w:type="dxa"/>
          </w:tcPr>
          <w:p w:rsidR="007130AF" w:rsidRPr="003241CD" w:rsidRDefault="007130AF" w:rsidP="00AF49EB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3241CD">
              <w:rPr>
                <w:rFonts w:ascii="Cambria" w:hAnsi="Cambria" w:cs="Arial"/>
                <w:i w:val="0"/>
                <w:sz w:val="32"/>
                <w:szCs w:val="32"/>
              </w:rPr>
              <w:t xml:space="preserve">TS </w:t>
            </w:r>
            <w:r w:rsidR="00AF49EB" w:rsidRPr="003241CD">
              <w:rPr>
                <w:rFonts w:ascii="Cambria" w:hAnsi="Cambria" w:cs="Arial"/>
                <w:i w:val="0"/>
                <w:sz w:val="32"/>
                <w:szCs w:val="32"/>
              </w:rPr>
              <w:t>12395</w:t>
            </w:r>
            <w:r w:rsidRPr="003241CD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C64D39" w:rsidRPr="003241CD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382D92" w:rsidRPr="003241CD">
              <w:rPr>
                <w:rFonts w:ascii="Cambria" w:hAnsi="Cambria" w:cs="Arial"/>
                <w:i w:val="0"/>
                <w:sz w:val="32"/>
                <w:szCs w:val="32"/>
              </w:rPr>
              <w:t>2008</w:t>
            </w:r>
          </w:p>
        </w:tc>
      </w:tr>
      <w:tr w:rsidR="007130AF" w:rsidRPr="003241CD">
        <w:trPr>
          <w:cantSplit/>
          <w:trHeight w:val="281"/>
        </w:trPr>
        <w:tc>
          <w:tcPr>
            <w:tcW w:w="3739" w:type="dxa"/>
          </w:tcPr>
          <w:p w:rsidR="007130AF" w:rsidRPr="003241CD" w:rsidRDefault="003241CD" w:rsidP="0085207F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85207F" w:rsidRPr="003241CD">
              <w:rPr>
                <w:rFonts w:ascii="Cambria" w:hAnsi="Cambria" w:cs="Arial"/>
                <w:iCs/>
                <w:sz w:val="32"/>
                <w:szCs w:val="32"/>
              </w:rPr>
              <w:t>st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  <w:r w:rsidR="0085207F" w:rsidRPr="003241CD">
              <w:rPr>
                <w:rFonts w:ascii="Cambria" w:hAnsi="Cambria" w:cs="Arial"/>
                <w:iCs/>
                <w:sz w:val="32"/>
                <w:szCs w:val="32"/>
              </w:rPr>
              <w:t>T2</w:t>
            </w:r>
            <w:r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:rsidR="007130AF" w:rsidRPr="003241CD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</w:rPr>
      </w:pPr>
    </w:p>
    <w:p w:rsidR="007130AF" w:rsidRPr="003241CD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3241CD">
        <w:rPr>
          <w:rFonts w:ascii="Cambria" w:hAnsi="Cambria"/>
          <w:sz w:val="24"/>
          <w:szCs w:val="24"/>
        </w:rPr>
        <w:t xml:space="preserve">ICS </w:t>
      </w:r>
      <w:r w:rsidRPr="003241CD">
        <w:rPr>
          <w:rFonts w:ascii="Cambria" w:hAnsi="Cambria"/>
          <w:b w:val="0"/>
          <w:sz w:val="24"/>
          <w:szCs w:val="24"/>
        </w:rPr>
        <w:t>67.</w:t>
      </w:r>
      <w:r w:rsidR="00CD30C6" w:rsidRPr="003241CD">
        <w:rPr>
          <w:rFonts w:ascii="Cambria" w:hAnsi="Cambria"/>
          <w:b w:val="0"/>
          <w:sz w:val="24"/>
          <w:szCs w:val="24"/>
        </w:rPr>
        <w:t>160</w:t>
      </w:r>
      <w:r w:rsidRPr="003241CD">
        <w:rPr>
          <w:rFonts w:ascii="Cambria" w:hAnsi="Cambria"/>
          <w:b w:val="0"/>
          <w:sz w:val="24"/>
          <w:szCs w:val="24"/>
        </w:rPr>
        <w:t>.</w:t>
      </w:r>
      <w:r w:rsidR="00382D92" w:rsidRPr="003241CD">
        <w:rPr>
          <w:rFonts w:ascii="Cambria" w:hAnsi="Cambria"/>
          <w:b w:val="0"/>
          <w:sz w:val="24"/>
          <w:szCs w:val="24"/>
        </w:rPr>
        <w:t>2</w:t>
      </w:r>
      <w:r w:rsidRPr="003241CD">
        <w:rPr>
          <w:rFonts w:ascii="Cambria" w:hAnsi="Cambria"/>
          <w:b w:val="0"/>
          <w:sz w:val="24"/>
          <w:szCs w:val="24"/>
        </w:rPr>
        <w:t>0</w:t>
      </w:r>
    </w:p>
    <w:p w:rsidR="007130AF" w:rsidRPr="003241CD" w:rsidRDefault="007130AF" w:rsidP="007130AF">
      <w:pPr>
        <w:jc w:val="center"/>
        <w:rPr>
          <w:rFonts w:ascii="Cambria" w:hAnsi="Cambria" w:cs="Arial"/>
          <w:b/>
        </w:rPr>
      </w:pPr>
    </w:p>
    <w:p w:rsidR="007130AF" w:rsidRPr="004648D0" w:rsidRDefault="007130AF" w:rsidP="007130AF">
      <w:pPr>
        <w:rPr>
          <w:rFonts w:ascii="Cambria" w:hAnsi="Cambria" w:cs="Arial"/>
          <w:sz w:val="22"/>
          <w:szCs w:val="22"/>
        </w:rPr>
      </w:pPr>
      <w:r w:rsidRPr="004648D0">
        <w:rPr>
          <w:rFonts w:ascii="Cambria" w:hAnsi="Cambria" w:cs="Arial"/>
          <w:sz w:val="22"/>
          <w:szCs w:val="22"/>
        </w:rPr>
        <w:t>Bu tadil, T</w:t>
      </w:r>
      <w:r w:rsidR="0077012A" w:rsidRPr="004648D0">
        <w:rPr>
          <w:rFonts w:ascii="Cambria" w:hAnsi="Cambria" w:cs="Arial"/>
          <w:sz w:val="22"/>
          <w:szCs w:val="22"/>
        </w:rPr>
        <w:t xml:space="preserve">ürk </w:t>
      </w:r>
      <w:r w:rsidRPr="004648D0">
        <w:rPr>
          <w:rFonts w:ascii="Cambria" w:hAnsi="Cambria" w:cs="Arial"/>
          <w:sz w:val="22"/>
          <w:szCs w:val="22"/>
        </w:rPr>
        <w:t>S</w:t>
      </w:r>
      <w:r w:rsidR="0077012A" w:rsidRPr="004648D0">
        <w:rPr>
          <w:rFonts w:ascii="Cambria" w:hAnsi="Cambria" w:cs="Arial"/>
          <w:sz w:val="22"/>
          <w:szCs w:val="22"/>
        </w:rPr>
        <w:t xml:space="preserve">tandardları </w:t>
      </w:r>
      <w:r w:rsidRPr="004648D0">
        <w:rPr>
          <w:rFonts w:ascii="Cambria" w:hAnsi="Cambria" w:cs="Arial"/>
          <w:sz w:val="22"/>
          <w:szCs w:val="22"/>
        </w:rPr>
        <w:t>E</w:t>
      </w:r>
      <w:r w:rsidR="0077012A" w:rsidRPr="004648D0">
        <w:rPr>
          <w:rFonts w:ascii="Cambria" w:hAnsi="Cambria" w:cs="Arial"/>
          <w:sz w:val="22"/>
          <w:szCs w:val="22"/>
        </w:rPr>
        <w:t xml:space="preserve">nstitüsü </w:t>
      </w:r>
      <w:r w:rsidR="00A67589" w:rsidRPr="004648D0">
        <w:rPr>
          <w:rFonts w:ascii="Cambria" w:hAnsi="Cambria" w:cs="Arial"/>
          <w:sz w:val="22"/>
          <w:szCs w:val="22"/>
        </w:rPr>
        <w:t>Gıda</w:t>
      </w:r>
      <w:r w:rsidR="000D354D" w:rsidRPr="004648D0">
        <w:rPr>
          <w:rFonts w:ascii="Cambria" w:hAnsi="Cambria" w:cs="Arial"/>
          <w:sz w:val="22"/>
          <w:szCs w:val="22"/>
        </w:rPr>
        <w:t>,</w:t>
      </w:r>
      <w:r w:rsidR="00A67589" w:rsidRPr="004648D0">
        <w:rPr>
          <w:rFonts w:ascii="Cambria" w:hAnsi="Cambria" w:cs="Arial"/>
          <w:sz w:val="22"/>
          <w:szCs w:val="22"/>
        </w:rPr>
        <w:t xml:space="preserve"> Tarım ve Hayvancılık</w:t>
      </w:r>
      <w:r w:rsidRPr="004648D0">
        <w:rPr>
          <w:rFonts w:ascii="Cambria" w:hAnsi="Cambria" w:cs="Arial"/>
          <w:sz w:val="22"/>
          <w:szCs w:val="22"/>
        </w:rPr>
        <w:t xml:space="preserve"> İhtisas </w:t>
      </w:r>
      <w:r w:rsidR="00F95522" w:rsidRPr="004648D0">
        <w:rPr>
          <w:rFonts w:ascii="Cambria" w:hAnsi="Cambria" w:cs="Arial"/>
          <w:sz w:val="22"/>
          <w:szCs w:val="22"/>
        </w:rPr>
        <w:t xml:space="preserve">Kuruluna bağlı </w:t>
      </w:r>
      <w:r w:rsidR="0085207F" w:rsidRPr="004648D0">
        <w:rPr>
          <w:rFonts w:ascii="Cambria" w:hAnsi="Cambria" w:cs="Arial"/>
          <w:sz w:val="22"/>
          <w:szCs w:val="22"/>
        </w:rPr>
        <w:t xml:space="preserve">TK15 </w:t>
      </w:r>
      <w:r w:rsidR="00A67589" w:rsidRPr="004648D0">
        <w:rPr>
          <w:rFonts w:ascii="Cambria" w:hAnsi="Cambria" w:cs="Arial"/>
          <w:sz w:val="22"/>
          <w:szCs w:val="22"/>
        </w:rPr>
        <w:t xml:space="preserve">Gıda </w:t>
      </w:r>
      <w:r w:rsidR="0085207F" w:rsidRPr="004648D0">
        <w:rPr>
          <w:rFonts w:ascii="Cambria" w:hAnsi="Cambria" w:cs="Arial"/>
          <w:sz w:val="22"/>
          <w:szCs w:val="22"/>
        </w:rPr>
        <w:t xml:space="preserve">ve </w:t>
      </w:r>
      <w:r w:rsidR="00A67589" w:rsidRPr="004648D0">
        <w:rPr>
          <w:rFonts w:ascii="Cambria" w:hAnsi="Cambria" w:cs="Arial"/>
          <w:sz w:val="22"/>
          <w:szCs w:val="22"/>
        </w:rPr>
        <w:t>Teknik Komitesi’nce</w:t>
      </w:r>
      <w:r w:rsidRPr="004648D0">
        <w:rPr>
          <w:rFonts w:ascii="Cambria" w:hAnsi="Cambria" w:cs="Arial"/>
          <w:sz w:val="22"/>
          <w:szCs w:val="22"/>
        </w:rPr>
        <w:t xml:space="preserve"> hazırlanmış ve TSE Teknik Kurulu’nun </w:t>
      </w:r>
      <w:r w:rsidR="0085207F" w:rsidRPr="004648D0">
        <w:rPr>
          <w:rFonts w:ascii="Cambria" w:hAnsi="Cambria" w:cs="Arial"/>
          <w:sz w:val="22"/>
          <w:szCs w:val="22"/>
        </w:rPr>
        <w:t>……..</w:t>
      </w:r>
      <w:r w:rsidR="007B45B9" w:rsidRPr="004648D0">
        <w:rPr>
          <w:rFonts w:ascii="Cambria" w:hAnsi="Cambria" w:cs="Arial"/>
          <w:sz w:val="22"/>
          <w:szCs w:val="22"/>
        </w:rPr>
        <w:t xml:space="preserve"> </w:t>
      </w:r>
      <w:r w:rsidRPr="004648D0">
        <w:rPr>
          <w:rFonts w:ascii="Cambria" w:hAnsi="Cambria" w:cs="Arial"/>
          <w:sz w:val="22"/>
          <w:szCs w:val="22"/>
        </w:rPr>
        <w:t>tarihli toplantısında kabul edilerek yayımına karar verilmiştir.</w:t>
      </w:r>
    </w:p>
    <w:p w:rsidR="007130AF" w:rsidRPr="003241CD" w:rsidRDefault="007130AF" w:rsidP="007130AF">
      <w:pPr>
        <w:rPr>
          <w:rFonts w:ascii="Cambria" w:hAnsi="Cambria" w:cs="Arial"/>
        </w:rPr>
      </w:pPr>
    </w:p>
    <w:p w:rsidR="00F95522" w:rsidRPr="003241CD" w:rsidRDefault="00F95522" w:rsidP="000D354D">
      <w:pPr>
        <w:jc w:val="center"/>
        <w:rPr>
          <w:rFonts w:ascii="Cambria" w:hAnsi="Cambria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7130AF" w:rsidRPr="003241CD" w:rsidTr="003B22E0">
        <w:tc>
          <w:tcPr>
            <w:tcW w:w="9747" w:type="dxa"/>
          </w:tcPr>
          <w:p w:rsidR="000D354D" w:rsidRPr="003241CD" w:rsidRDefault="003C1523" w:rsidP="000D354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241CD">
              <w:rPr>
                <w:rFonts w:ascii="Cambria" w:hAnsi="Cambria"/>
                <w:b/>
                <w:sz w:val="28"/>
                <w:szCs w:val="28"/>
              </w:rPr>
              <w:t xml:space="preserve">Ananas </w:t>
            </w:r>
            <w:r w:rsidR="000D354D" w:rsidRPr="003241CD">
              <w:rPr>
                <w:rFonts w:ascii="Cambria" w:hAnsi="Cambria"/>
                <w:b/>
                <w:sz w:val="28"/>
                <w:szCs w:val="28"/>
              </w:rPr>
              <w:t xml:space="preserve">nektarı </w:t>
            </w:r>
          </w:p>
          <w:p w:rsidR="004E5FFF" w:rsidRPr="003241CD" w:rsidRDefault="004E5FFF" w:rsidP="000D354D">
            <w:pPr>
              <w:jc w:val="center"/>
              <w:rPr>
                <w:rFonts w:ascii="Cambria" w:hAnsi="Cambria"/>
              </w:rPr>
            </w:pPr>
          </w:p>
        </w:tc>
      </w:tr>
      <w:tr w:rsidR="007045DD" w:rsidRPr="003241CD" w:rsidTr="003B22E0">
        <w:tc>
          <w:tcPr>
            <w:tcW w:w="9747" w:type="dxa"/>
          </w:tcPr>
          <w:p w:rsidR="007045DD" w:rsidRPr="003241CD" w:rsidRDefault="003C1523" w:rsidP="000D354D">
            <w:pPr>
              <w:jc w:val="center"/>
              <w:rPr>
                <w:rFonts w:ascii="Cambria" w:hAnsi="Cambria"/>
              </w:rPr>
            </w:pPr>
            <w:r w:rsidRPr="003241CD">
              <w:rPr>
                <w:rFonts w:ascii="Cambria" w:hAnsi="Cambria"/>
                <w:sz w:val="28"/>
                <w:szCs w:val="28"/>
              </w:rPr>
              <w:t>Pineapple Nectar</w:t>
            </w:r>
          </w:p>
        </w:tc>
      </w:tr>
    </w:tbl>
    <w:p w:rsidR="000D354D" w:rsidRDefault="000D354D">
      <w:pPr>
        <w:rPr>
          <w:rFonts w:ascii="Cambria" w:hAnsi="Cambria"/>
        </w:rPr>
      </w:pPr>
    </w:p>
    <w:p w:rsidR="004648D0" w:rsidRDefault="004648D0">
      <w:pPr>
        <w:rPr>
          <w:rFonts w:ascii="Cambria" w:hAnsi="Cambria"/>
        </w:rPr>
      </w:pPr>
    </w:p>
    <w:p w:rsidR="004648D0" w:rsidRPr="003241CD" w:rsidRDefault="004648D0">
      <w:pPr>
        <w:rPr>
          <w:rFonts w:ascii="Cambria" w:hAnsi="Cambria"/>
        </w:rPr>
      </w:pPr>
    </w:p>
    <w:p w:rsidR="003B22E0" w:rsidRPr="004648D0" w:rsidRDefault="003B22E0" w:rsidP="003241CD">
      <w:pPr>
        <w:pStyle w:val="ListeParagraf"/>
        <w:numPr>
          <w:ilvl w:val="0"/>
          <w:numId w:val="22"/>
        </w:numPr>
        <w:jc w:val="left"/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2</w:t>
      </w:r>
      <w:r w:rsidR="004316CC" w:rsidRPr="004648D0">
        <w:rPr>
          <w:rFonts w:ascii="Cambria" w:hAnsi="Cambria"/>
          <w:sz w:val="22"/>
          <w:szCs w:val="22"/>
        </w:rPr>
        <w:t>’deki</w:t>
      </w:r>
      <w:r w:rsidRPr="004648D0">
        <w:rPr>
          <w:rFonts w:ascii="Cambria" w:hAnsi="Cambria"/>
          <w:sz w:val="22"/>
          <w:szCs w:val="22"/>
        </w:rPr>
        <w:t xml:space="preserve"> </w:t>
      </w:r>
      <w:r w:rsidR="004316CC" w:rsidRPr="004648D0">
        <w:rPr>
          <w:rFonts w:ascii="Cambria" w:hAnsi="Cambria"/>
          <w:sz w:val="22"/>
          <w:szCs w:val="22"/>
        </w:rPr>
        <w:t>“</w:t>
      </w:r>
      <w:r w:rsidRPr="004648D0">
        <w:rPr>
          <w:rFonts w:ascii="Cambria" w:hAnsi="Cambria"/>
          <w:sz w:val="22"/>
          <w:szCs w:val="22"/>
        </w:rPr>
        <w:t>Atıf yapılan standardlar ve veya/ dökümanlar</w:t>
      </w:r>
      <w:r w:rsidR="004316CC" w:rsidRPr="004648D0">
        <w:rPr>
          <w:rFonts w:ascii="Cambria" w:hAnsi="Cambria"/>
          <w:sz w:val="22"/>
          <w:szCs w:val="22"/>
        </w:rPr>
        <w:t>”</w:t>
      </w:r>
      <w:r w:rsidRPr="004648D0">
        <w:rPr>
          <w:rFonts w:ascii="Cambria" w:hAnsi="Cambria"/>
          <w:sz w:val="22"/>
          <w:szCs w:val="22"/>
        </w:rPr>
        <w:t xml:space="preserve"> </w:t>
      </w:r>
      <w:r w:rsidR="004316CC" w:rsidRPr="004648D0">
        <w:rPr>
          <w:rFonts w:ascii="Cambria" w:hAnsi="Cambria"/>
          <w:sz w:val="22"/>
          <w:szCs w:val="22"/>
        </w:rPr>
        <w:t>listesinden</w:t>
      </w:r>
      <w:r w:rsidRPr="004648D0">
        <w:rPr>
          <w:rFonts w:ascii="Cambria" w:hAnsi="Cambria"/>
          <w:sz w:val="22"/>
          <w:szCs w:val="22"/>
        </w:rPr>
        <w:t xml:space="preserve"> aşağıdaki standar</w:t>
      </w:r>
      <w:r w:rsidR="006A0E6B" w:rsidRPr="004648D0">
        <w:rPr>
          <w:rFonts w:ascii="Cambria" w:hAnsi="Cambria"/>
          <w:sz w:val="22"/>
          <w:szCs w:val="22"/>
        </w:rPr>
        <w:t>t</w:t>
      </w:r>
      <w:r w:rsidRPr="004648D0">
        <w:rPr>
          <w:rFonts w:ascii="Cambria" w:hAnsi="Cambria"/>
          <w:sz w:val="22"/>
          <w:szCs w:val="22"/>
        </w:rPr>
        <w:t xml:space="preserve">lar </w:t>
      </w:r>
      <w:r w:rsidR="004316CC" w:rsidRPr="004648D0">
        <w:rPr>
          <w:rFonts w:ascii="Cambria" w:hAnsi="Cambria"/>
          <w:sz w:val="22"/>
          <w:szCs w:val="22"/>
        </w:rPr>
        <w:t>çıkartıl</w:t>
      </w:r>
      <w:r w:rsidRPr="004648D0">
        <w:rPr>
          <w:rFonts w:ascii="Cambria" w:hAnsi="Cambria"/>
          <w:sz w:val="22"/>
          <w:szCs w:val="22"/>
        </w:rPr>
        <w:t>mıştır.</w:t>
      </w:r>
    </w:p>
    <w:p w:rsidR="003B22E0" w:rsidRPr="004648D0" w:rsidRDefault="003B22E0" w:rsidP="003B22E0">
      <w:pPr>
        <w:jc w:val="left"/>
        <w:rPr>
          <w:rFonts w:ascii="Cambria" w:hAnsi="Cambria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648D0" w:rsidTr="003B22E0">
        <w:tc>
          <w:tcPr>
            <w:tcW w:w="1300" w:type="dxa"/>
          </w:tcPr>
          <w:p w:rsidR="003B22E0" w:rsidRPr="004648D0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648D0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648D0" w:rsidRDefault="003B22E0" w:rsidP="00384F2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2259</w:t>
            </w:r>
          </w:p>
        </w:tc>
        <w:tc>
          <w:tcPr>
            <w:tcW w:w="4200" w:type="dxa"/>
          </w:tcPr>
          <w:p w:rsidR="00307563" w:rsidRPr="004648D0" w:rsidDel="00C17042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 w:cs="Arial"/>
                <w:sz w:val="22"/>
                <w:szCs w:val="22"/>
              </w:rPr>
              <w:t>Bira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 w:cs="Arial"/>
                <w:sz w:val="22"/>
                <w:szCs w:val="22"/>
              </w:rPr>
              <w:t>Beer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4080</w:t>
            </w:r>
          </w:p>
        </w:tc>
        <w:tc>
          <w:tcPr>
            <w:tcW w:w="4200" w:type="dxa"/>
          </w:tcPr>
          <w:p w:rsidR="00307563" w:rsidRPr="004648D0" w:rsidDel="00C17042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 xml:space="preserve">Gazlı alkolsüz içecek 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/>
                <w:noProof w:val="0"/>
                <w:sz w:val="22"/>
                <w:szCs w:val="22"/>
                <w:lang w:val="en-US"/>
              </w:rPr>
              <w:t>Carbonated nonalcoholic beverage</w:t>
            </w:r>
          </w:p>
        </w:tc>
      </w:tr>
      <w:tr w:rsidR="00307563" w:rsidRPr="004648D0" w:rsidTr="003241CD">
        <w:trPr>
          <w:trHeight w:val="554"/>
        </w:trPr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 xml:space="preserve">TS 6065 </w:t>
            </w:r>
          </w:p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ISO 2447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 w:cs="Arial"/>
                <w:sz w:val="22"/>
                <w:szCs w:val="22"/>
              </w:rPr>
              <w:t xml:space="preserve">Meyve ve Sebze Mamulleri- Kalay Muhtevası Tayini 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 w:cs="Arial"/>
                <w:sz w:val="22"/>
                <w:szCs w:val="22"/>
              </w:rPr>
              <w:t>Fruit and vegetable products- Determination of tin content</w:t>
            </w:r>
          </w:p>
        </w:tc>
      </w:tr>
      <w:tr w:rsidR="00307563" w:rsidRPr="004648D0" w:rsidTr="003D1F07">
        <w:trPr>
          <w:trHeight w:val="554"/>
        </w:trPr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6182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Meyve, Sebze ve Mamulleri-Kurşun Miktarı Tayini Alevsiz Atomik Absorpsiyon Spektrometrik Metot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Fruits, Vegetables and Derived Products-Determination of Lead Content-Flameless Atomic Absorption Spectrometric Method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ISO 6636-3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Meyve ve Sebze Ürünleri-Çinko İçeriği Tayini-Bölüm 3:Ditizon Spektrometrik Yöntem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Fruit and vegetable products-determination of zinc content-part 3:dithizone spectrometric method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7573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Meyve, Sebze ve Mamulleri-Çinko Tayini-Atomik Absorbsiyon Spektrometrik Metot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Fruits, Vegetables and Derived Products-Determination of Zinc Content-Atomic Absorption Spectrometric Method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ISO 7952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Meyveler, Sebzeler ve Bunlardan Hazırlanan Mamuller-Bakır Tayini-Alevli Atomik Absorpsiyon Spektrometrik Metot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Fruits, Vegetables and Derived Products-Determination of Copper Content-Method Using Flame Atomic Absorption Spectrometry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bookmarkStart w:id="2" w:name="_Toc171754480"/>
            <w:bookmarkStart w:id="3" w:name="_Toc171754598"/>
            <w:r w:rsidRPr="004648D0">
              <w:rPr>
                <w:rFonts w:ascii="Cambria" w:hAnsi="Cambria"/>
                <w:sz w:val="22"/>
                <w:szCs w:val="22"/>
              </w:rPr>
              <w:t>TS EN 14082</w:t>
            </w:r>
            <w:bookmarkEnd w:id="2"/>
            <w:bookmarkEnd w:id="3"/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bookmarkStart w:id="4" w:name="_Toc161732115"/>
            <w:bookmarkStart w:id="5" w:name="_Toc171754481"/>
            <w:bookmarkStart w:id="6" w:name="_Toc171754599"/>
            <w:r w:rsidRPr="004648D0">
              <w:rPr>
                <w:rFonts w:ascii="Cambria" w:hAnsi="Cambria"/>
                <w:sz w:val="22"/>
                <w:szCs w:val="22"/>
              </w:rPr>
              <w:t xml:space="preserve">Gıdalar – Eser elementlerin tayini – Kuru yakma işleminden sonra kurşun, kadmiyum, çinko, bakır, demir ve kromun atomik absorpsiyon spektrometri (AAS) ile tayini </w:t>
            </w:r>
            <w:bookmarkEnd w:id="4"/>
            <w:bookmarkEnd w:id="5"/>
            <w:bookmarkEnd w:id="6"/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  <w:highlight w:val="yellow"/>
              </w:rPr>
            </w:pPr>
            <w:bookmarkStart w:id="7" w:name="_Toc171754482"/>
            <w:bookmarkStart w:id="8" w:name="_Toc171754600"/>
            <w:r w:rsidRPr="004648D0">
              <w:rPr>
                <w:rFonts w:ascii="Cambria" w:hAnsi="Cambria"/>
                <w:sz w:val="22"/>
                <w:szCs w:val="22"/>
              </w:rPr>
              <w:t>Foodstuffs – Determination of trace elements – Determination of lead, cadmium, zinc, copper, iron and chromium by atomic absorption spectrometry (AAS) after dry ashing</w:t>
            </w:r>
            <w:bookmarkEnd w:id="7"/>
            <w:bookmarkEnd w:id="8"/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EN 14083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Gıdalar – Eser elementlerin tayini – Basınç altında parçalama işleminden sonra kurşun, kadmiyum, krom ve molibdenin grafit fırınlı atomik absorpsiyon spektrometri (GFAAS) ile tayini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Foodstuffs - Determination of trace elements - Determination of lead, cadmium, chromium and molybdenum by graphite furnace atomic absorption spectrometry (GFAAS) after pressure digestion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lastRenderedPageBreak/>
              <w:t>TS EN 14546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Gıda maddeleri - İz elementlerin tayini - Kuru yakma işleminden sonra hidrid generasyonlu atomik absorbsiyon spektrometri (HGAAS) ile toplam arsenik tayini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Foodstuffs - Determination of trace elements - Determination of total arsenic by hydride generation atomic absorption spectrometry (HGAAS) after dry ashing</w:t>
            </w:r>
          </w:p>
        </w:tc>
      </w:tr>
    </w:tbl>
    <w:p w:rsidR="003B22E0" w:rsidRPr="004648D0" w:rsidRDefault="003B22E0" w:rsidP="003B22E0">
      <w:pPr>
        <w:jc w:val="left"/>
        <w:rPr>
          <w:rFonts w:ascii="Cambria" w:hAnsi="Cambria"/>
          <w:sz w:val="22"/>
          <w:szCs w:val="22"/>
          <w:highlight w:val="yellow"/>
        </w:rPr>
      </w:pPr>
    </w:p>
    <w:p w:rsidR="00307563" w:rsidRPr="004648D0" w:rsidRDefault="00307563" w:rsidP="003B22E0">
      <w:pPr>
        <w:rPr>
          <w:rFonts w:ascii="Cambria" w:hAnsi="Cambria"/>
          <w:sz w:val="22"/>
          <w:szCs w:val="22"/>
        </w:rPr>
      </w:pPr>
    </w:p>
    <w:p w:rsidR="00307563" w:rsidRPr="004648D0" w:rsidRDefault="00307563" w:rsidP="003B22E0">
      <w:pPr>
        <w:rPr>
          <w:rFonts w:ascii="Cambria" w:hAnsi="Cambria"/>
          <w:sz w:val="22"/>
          <w:szCs w:val="22"/>
        </w:rPr>
      </w:pPr>
    </w:p>
    <w:p w:rsidR="003B22E0" w:rsidRPr="004648D0" w:rsidRDefault="003B22E0" w:rsidP="003241CD">
      <w:pPr>
        <w:pStyle w:val="ListeParagraf"/>
        <w:numPr>
          <w:ilvl w:val="0"/>
          <w:numId w:val="22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2</w:t>
      </w:r>
      <w:r w:rsidR="004316CC" w:rsidRPr="004648D0">
        <w:rPr>
          <w:rFonts w:ascii="Cambria" w:hAnsi="Cambria"/>
          <w:sz w:val="22"/>
          <w:szCs w:val="22"/>
        </w:rPr>
        <w:t>’deki</w:t>
      </w:r>
      <w:r w:rsidRPr="004648D0">
        <w:rPr>
          <w:rFonts w:ascii="Cambria" w:hAnsi="Cambria"/>
          <w:sz w:val="22"/>
          <w:szCs w:val="22"/>
        </w:rPr>
        <w:t xml:space="preserve"> </w:t>
      </w:r>
      <w:r w:rsidR="004316CC" w:rsidRPr="004648D0">
        <w:rPr>
          <w:rFonts w:ascii="Cambria" w:hAnsi="Cambria"/>
          <w:sz w:val="22"/>
          <w:szCs w:val="22"/>
        </w:rPr>
        <w:t>“</w:t>
      </w:r>
      <w:r w:rsidRPr="004648D0">
        <w:rPr>
          <w:rFonts w:ascii="Cambria" w:hAnsi="Cambria"/>
          <w:sz w:val="22"/>
          <w:szCs w:val="22"/>
        </w:rPr>
        <w:t>Atıf yapılan standardlar ve veya/ dökümanlar</w:t>
      </w:r>
      <w:r w:rsidR="003361A8" w:rsidRPr="004648D0">
        <w:rPr>
          <w:rFonts w:ascii="Cambria" w:hAnsi="Cambria"/>
          <w:sz w:val="22"/>
          <w:szCs w:val="22"/>
        </w:rPr>
        <w:t>”a</w:t>
      </w:r>
      <w:r w:rsidRPr="004648D0">
        <w:rPr>
          <w:rFonts w:ascii="Cambria" w:hAnsi="Cambria"/>
          <w:sz w:val="22"/>
          <w:szCs w:val="22"/>
        </w:rPr>
        <w:t xml:space="preserve"> aşağıdaki standar</w:t>
      </w:r>
      <w:r w:rsidR="006A0E6B" w:rsidRPr="004648D0">
        <w:rPr>
          <w:rFonts w:ascii="Cambria" w:hAnsi="Cambria"/>
          <w:sz w:val="22"/>
          <w:szCs w:val="22"/>
        </w:rPr>
        <w:t>t</w:t>
      </w:r>
      <w:r w:rsidRPr="004648D0">
        <w:rPr>
          <w:rFonts w:ascii="Cambria" w:hAnsi="Cambria"/>
          <w:sz w:val="22"/>
          <w:szCs w:val="22"/>
        </w:rPr>
        <w:t xml:space="preserve">lar </w:t>
      </w:r>
      <w:r w:rsidR="004316CC" w:rsidRPr="004648D0">
        <w:rPr>
          <w:rFonts w:ascii="Cambria" w:hAnsi="Cambria"/>
          <w:sz w:val="22"/>
          <w:szCs w:val="22"/>
        </w:rPr>
        <w:t>eklenmiştir.</w:t>
      </w:r>
    </w:p>
    <w:p w:rsidR="004E5FFF" w:rsidRPr="004648D0" w:rsidRDefault="004E5FFF" w:rsidP="007130AF">
      <w:pPr>
        <w:rPr>
          <w:rFonts w:ascii="Cambria" w:hAnsi="Cambria"/>
          <w:b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4200"/>
        <w:gridCol w:w="4281"/>
      </w:tblGrid>
      <w:tr w:rsidR="003B22E0" w:rsidRPr="004648D0" w:rsidTr="003B22E0">
        <w:tc>
          <w:tcPr>
            <w:tcW w:w="1300" w:type="dxa"/>
          </w:tcPr>
          <w:p w:rsidR="003B22E0" w:rsidRPr="004648D0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4200" w:type="dxa"/>
          </w:tcPr>
          <w:p w:rsidR="003B22E0" w:rsidRPr="004648D0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81" w:type="dxa"/>
          </w:tcPr>
          <w:p w:rsidR="003B22E0" w:rsidRPr="004648D0" w:rsidRDefault="003B22E0" w:rsidP="00DC5C3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 xml:space="preserve">TS 1594 </w:t>
            </w:r>
          </w:p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ISO 2448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Meyve ve sebze ürünleri - Etanol muhtevası tayini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Fruits and vegetable products - Determination of ethanol content</w:t>
            </w:r>
          </w:p>
        </w:tc>
      </w:tr>
      <w:tr w:rsidR="00307563" w:rsidRPr="004648D0" w:rsidTr="003B22E0">
        <w:tc>
          <w:tcPr>
            <w:tcW w:w="13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TS 13568</w:t>
            </w:r>
          </w:p>
        </w:tc>
        <w:tc>
          <w:tcPr>
            <w:tcW w:w="4200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Meşrubat</w:t>
            </w:r>
          </w:p>
        </w:tc>
        <w:tc>
          <w:tcPr>
            <w:tcW w:w="4281" w:type="dxa"/>
          </w:tcPr>
          <w:p w:rsidR="00307563" w:rsidRPr="004648D0" w:rsidRDefault="00307563" w:rsidP="0030756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Beverages</w:t>
            </w:r>
          </w:p>
        </w:tc>
      </w:tr>
    </w:tbl>
    <w:p w:rsidR="003B22E0" w:rsidRPr="004648D0" w:rsidRDefault="003B22E0" w:rsidP="007130AF">
      <w:pPr>
        <w:rPr>
          <w:rFonts w:ascii="Cambria" w:hAnsi="Cambria"/>
          <w:sz w:val="22"/>
          <w:szCs w:val="22"/>
        </w:rPr>
      </w:pPr>
    </w:p>
    <w:p w:rsidR="007C1442" w:rsidRPr="004648D0" w:rsidRDefault="007C1442" w:rsidP="003B22E0">
      <w:pPr>
        <w:ind w:left="284" w:hanging="284"/>
        <w:rPr>
          <w:rFonts w:ascii="Cambria" w:hAnsi="Cambria"/>
          <w:sz w:val="22"/>
          <w:szCs w:val="22"/>
          <w:highlight w:val="yellow"/>
        </w:rPr>
      </w:pPr>
    </w:p>
    <w:p w:rsidR="00E0371F" w:rsidRPr="004648D0" w:rsidRDefault="00691535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 xml:space="preserve">Madde </w:t>
      </w:r>
      <w:r w:rsidR="00E0371F" w:rsidRPr="004648D0">
        <w:rPr>
          <w:rFonts w:ascii="Cambria" w:hAnsi="Cambria"/>
          <w:sz w:val="22"/>
          <w:szCs w:val="22"/>
        </w:rPr>
        <w:t>3 “Tarifler” b</w:t>
      </w:r>
      <w:r w:rsidR="004316CC" w:rsidRPr="004648D0">
        <w:rPr>
          <w:rFonts w:ascii="Cambria" w:hAnsi="Cambria"/>
          <w:sz w:val="22"/>
          <w:szCs w:val="22"/>
        </w:rPr>
        <w:t>ölümüne</w:t>
      </w:r>
      <w:r w:rsidR="00E0371F" w:rsidRPr="004648D0">
        <w:rPr>
          <w:rFonts w:ascii="Cambria" w:hAnsi="Cambria"/>
          <w:sz w:val="22"/>
          <w:szCs w:val="22"/>
        </w:rPr>
        <w:t xml:space="preserve"> aşağıdaki</w:t>
      </w:r>
      <w:r w:rsidR="004640AE" w:rsidRPr="004648D0">
        <w:rPr>
          <w:rFonts w:ascii="Cambria" w:hAnsi="Cambria"/>
          <w:sz w:val="22"/>
          <w:szCs w:val="22"/>
        </w:rPr>
        <w:t xml:space="preserve"> madde başlığı ile birlikte</w:t>
      </w:r>
      <w:r w:rsidR="00E0371F" w:rsidRPr="004648D0">
        <w:rPr>
          <w:rFonts w:ascii="Cambria" w:hAnsi="Cambria"/>
          <w:sz w:val="22"/>
          <w:szCs w:val="22"/>
        </w:rPr>
        <w:t xml:space="preserve"> </w:t>
      </w:r>
      <w:r w:rsidR="004640AE" w:rsidRPr="004648D0">
        <w:rPr>
          <w:rFonts w:ascii="Cambria" w:hAnsi="Cambria"/>
          <w:sz w:val="22"/>
          <w:szCs w:val="22"/>
        </w:rPr>
        <w:t>e</w:t>
      </w:r>
      <w:r w:rsidR="00E0371F" w:rsidRPr="004648D0">
        <w:rPr>
          <w:rFonts w:ascii="Cambria" w:hAnsi="Cambria"/>
          <w:sz w:val="22"/>
          <w:szCs w:val="22"/>
        </w:rPr>
        <w:t xml:space="preserve">klenmiştir. </w:t>
      </w:r>
    </w:p>
    <w:p w:rsidR="00E0371F" w:rsidRPr="004648D0" w:rsidRDefault="00E0371F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E0371F" w:rsidRPr="004648D0" w:rsidRDefault="00E0371F" w:rsidP="00E0371F">
      <w:pPr>
        <w:pStyle w:val="Balk2"/>
        <w:rPr>
          <w:rFonts w:ascii="Cambria" w:eastAsia="Times New Roman" w:hAnsi="Cambria" w:cs="Arial"/>
          <w:bCs w:val="0"/>
          <w:noProof w:val="0"/>
          <w:snapToGrid w:val="0"/>
          <w:sz w:val="22"/>
          <w:szCs w:val="22"/>
          <w:lang w:val="en-US" w:eastAsia="en-US"/>
        </w:rPr>
      </w:pPr>
      <w:r w:rsidRPr="004648D0">
        <w:rPr>
          <w:rFonts w:ascii="Cambria" w:hAnsi="Cambria"/>
          <w:sz w:val="22"/>
          <w:szCs w:val="22"/>
        </w:rPr>
        <w:t xml:space="preserve"> </w:t>
      </w:r>
      <w:bookmarkStart w:id="9" w:name="_Toc161722142"/>
      <w:bookmarkStart w:id="10" w:name="_Toc197935165"/>
      <w:r w:rsidRPr="004648D0">
        <w:rPr>
          <w:rFonts w:ascii="Cambria" w:eastAsia="Times New Roman" w:hAnsi="Cambria" w:cs="Arial"/>
          <w:bCs w:val="0"/>
          <w:noProof w:val="0"/>
          <w:snapToGrid w:val="0"/>
          <w:sz w:val="22"/>
          <w:szCs w:val="22"/>
          <w:lang w:val="en-US" w:eastAsia="en-US"/>
        </w:rPr>
        <w:t>3.4</w:t>
      </w:r>
      <w:r w:rsidRPr="004648D0">
        <w:rPr>
          <w:rFonts w:ascii="Cambria" w:eastAsia="Times New Roman" w:hAnsi="Cambria" w:cs="Arial"/>
          <w:bCs w:val="0"/>
          <w:noProof w:val="0"/>
          <w:snapToGrid w:val="0"/>
          <w:sz w:val="22"/>
          <w:szCs w:val="22"/>
          <w:lang w:val="en-US" w:eastAsia="en-US"/>
        </w:rPr>
        <w:tab/>
      </w:r>
      <w:bookmarkEnd w:id="9"/>
      <w:bookmarkEnd w:id="10"/>
      <w:r w:rsidRPr="004648D0">
        <w:rPr>
          <w:rFonts w:ascii="Cambria" w:eastAsia="Times New Roman" w:hAnsi="Cambria" w:cs="Arial"/>
          <w:bCs w:val="0"/>
          <w:noProof w:val="0"/>
          <w:snapToGrid w:val="0"/>
          <w:sz w:val="22"/>
          <w:szCs w:val="22"/>
          <w:lang w:val="en-US" w:eastAsia="en-US"/>
        </w:rPr>
        <w:t>Yabancı madde</w:t>
      </w:r>
    </w:p>
    <w:p w:rsidR="00E0371F" w:rsidRPr="004648D0" w:rsidRDefault="00E0371F" w:rsidP="00E0371F">
      <w:pPr>
        <w:ind w:right="283"/>
        <w:rPr>
          <w:rFonts w:ascii="Cambria" w:hAnsi="Cambria" w:cs="Arial"/>
          <w:noProof w:val="0"/>
          <w:sz w:val="22"/>
          <w:szCs w:val="22"/>
        </w:rPr>
      </w:pPr>
      <w:r w:rsidRPr="004648D0">
        <w:rPr>
          <w:rFonts w:ascii="Cambria" w:hAnsi="Cambria" w:cs="Arial"/>
          <w:noProof w:val="0"/>
          <w:sz w:val="22"/>
          <w:szCs w:val="22"/>
        </w:rPr>
        <w:t xml:space="preserve">Ananas nektarı üretiminde kullanılmasına müsaade edilenlerin dışında gözle görülebilen her türlü madde </w:t>
      </w:r>
    </w:p>
    <w:p w:rsidR="00691535" w:rsidRPr="004648D0" w:rsidRDefault="00691535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3A3E24" w:rsidRPr="004648D0" w:rsidRDefault="00E0371F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4.2.1 Duyusal özellikler</w:t>
      </w:r>
      <w:r w:rsidR="009B72A2" w:rsidRPr="004648D0">
        <w:rPr>
          <w:rFonts w:ascii="Cambria" w:hAnsi="Cambria"/>
          <w:sz w:val="22"/>
          <w:szCs w:val="22"/>
        </w:rPr>
        <w:t>, “Çizelge 3”</w:t>
      </w:r>
      <w:r w:rsidRPr="004648D0">
        <w:rPr>
          <w:rFonts w:ascii="Cambria" w:hAnsi="Cambria"/>
          <w:sz w:val="22"/>
          <w:szCs w:val="22"/>
        </w:rPr>
        <w:t xml:space="preserve"> aşağıdaki şekilde değiştirilmiştir</w:t>
      </w:r>
      <w:r w:rsidR="006A0E6B" w:rsidRPr="004648D0">
        <w:rPr>
          <w:rFonts w:ascii="Cambria" w:hAnsi="Cambria"/>
          <w:sz w:val="22"/>
          <w:szCs w:val="22"/>
        </w:rPr>
        <w:t>;</w:t>
      </w:r>
      <w:r w:rsidRPr="004648D0">
        <w:rPr>
          <w:rFonts w:ascii="Cambria" w:hAnsi="Cambria"/>
          <w:sz w:val="22"/>
          <w:szCs w:val="22"/>
        </w:rPr>
        <w:t xml:space="preserve"> </w:t>
      </w:r>
    </w:p>
    <w:p w:rsidR="00EE01A5" w:rsidRPr="004648D0" w:rsidRDefault="00E0371F" w:rsidP="003241CD">
      <w:pPr>
        <w:tabs>
          <w:tab w:val="left" w:pos="1005"/>
        </w:tabs>
        <w:rPr>
          <w:rFonts w:ascii="Cambria" w:hAnsi="Cambria" w:cs="Arial"/>
          <w:noProof w:val="0"/>
          <w:sz w:val="22"/>
          <w:szCs w:val="22"/>
        </w:rPr>
      </w:pPr>
      <w:r w:rsidRPr="004648D0">
        <w:rPr>
          <w:rFonts w:ascii="Cambria" w:hAnsi="Cambria" w:cs="Arial"/>
          <w:noProof w:val="0"/>
          <w:sz w:val="22"/>
          <w:szCs w:val="22"/>
        </w:rPr>
        <w:tab/>
      </w:r>
    </w:p>
    <w:p w:rsidR="00E0371F" w:rsidRDefault="00E0371F" w:rsidP="00E0371F">
      <w:pPr>
        <w:rPr>
          <w:rFonts w:ascii="Cambria" w:hAnsi="Cambria" w:cs="Arial"/>
          <w:noProof w:val="0"/>
          <w:sz w:val="22"/>
          <w:szCs w:val="22"/>
        </w:rPr>
      </w:pPr>
      <w:r w:rsidRPr="004648D0">
        <w:rPr>
          <w:rFonts w:ascii="Cambria" w:hAnsi="Cambria" w:cs="Arial"/>
          <w:b/>
          <w:noProof w:val="0"/>
          <w:sz w:val="22"/>
          <w:szCs w:val="22"/>
        </w:rPr>
        <w:t>Çizelge 1 -</w:t>
      </w:r>
      <w:r w:rsidRPr="004648D0">
        <w:rPr>
          <w:rFonts w:ascii="Cambria" w:hAnsi="Cambria" w:cs="Arial"/>
          <w:noProof w:val="0"/>
          <w:sz w:val="22"/>
          <w:szCs w:val="22"/>
        </w:rPr>
        <w:t xml:space="preserve"> Ananas nektarının duyusal özellikleri</w:t>
      </w:r>
    </w:p>
    <w:p w:rsidR="004648D0" w:rsidRPr="004648D0" w:rsidRDefault="004648D0" w:rsidP="00E0371F">
      <w:pPr>
        <w:rPr>
          <w:rFonts w:ascii="Cambria" w:hAnsi="Cambria" w:cs="Arial"/>
          <w:noProof w:val="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995"/>
      </w:tblGrid>
      <w:tr w:rsidR="00E0371F" w:rsidRPr="004648D0" w:rsidTr="003241CD"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71F" w:rsidRPr="004648D0" w:rsidRDefault="00E0371F" w:rsidP="003241CD">
            <w:pPr>
              <w:jc w:val="center"/>
              <w:rPr>
                <w:rFonts w:ascii="Cambria" w:hAnsi="Cambria" w:cs="Arial"/>
                <w:b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b/>
                <w:noProof w:val="0"/>
                <w:sz w:val="22"/>
                <w:szCs w:val="22"/>
              </w:rPr>
              <w:t>Özellik</w:t>
            </w:r>
          </w:p>
        </w:tc>
        <w:tc>
          <w:tcPr>
            <w:tcW w:w="399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371F" w:rsidRPr="004648D0" w:rsidRDefault="00E0371F" w:rsidP="003241CD">
            <w:pPr>
              <w:jc w:val="center"/>
              <w:rPr>
                <w:rFonts w:ascii="Cambria" w:hAnsi="Cambria" w:cs="Arial"/>
                <w:b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b/>
                <w:noProof w:val="0"/>
                <w:sz w:val="22"/>
                <w:szCs w:val="22"/>
              </w:rPr>
              <w:t>Değer</w:t>
            </w:r>
          </w:p>
        </w:tc>
      </w:tr>
      <w:tr w:rsidR="00E0371F" w:rsidRPr="004648D0" w:rsidTr="003241CD"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1F" w:rsidRPr="004648D0" w:rsidRDefault="00E0371F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Renk ve Görünüş</w:t>
            </w:r>
          </w:p>
        </w:tc>
        <w:tc>
          <w:tcPr>
            <w:tcW w:w="39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371F" w:rsidRPr="004648D0" w:rsidRDefault="00E0371F" w:rsidP="00E0371F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Kendine özgü renk ve görünüşte olmalıdır.</w:t>
            </w:r>
          </w:p>
        </w:tc>
      </w:tr>
      <w:tr w:rsidR="00E0371F" w:rsidRPr="004648D0" w:rsidTr="003241CD"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1F" w:rsidRPr="004648D0" w:rsidRDefault="00E0371F" w:rsidP="00E0371F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Tat ve koku</w:t>
            </w:r>
          </w:p>
        </w:tc>
        <w:tc>
          <w:tcPr>
            <w:tcW w:w="39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371F" w:rsidRPr="004648D0" w:rsidRDefault="00E0371F" w:rsidP="00E0371F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 xml:space="preserve">Kendine özgü tat ve kokuda olmalı, yabancı tat ve koku ihtiva etmemelidir. </w:t>
            </w:r>
          </w:p>
        </w:tc>
      </w:tr>
      <w:tr w:rsidR="00E0371F" w:rsidRPr="004648D0" w:rsidTr="003241CD">
        <w:tc>
          <w:tcPr>
            <w:tcW w:w="32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1F" w:rsidRPr="004648D0" w:rsidRDefault="00E0371F" w:rsidP="00E0371F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Yabancı madde</w:t>
            </w:r>
          </w:p>
        </w:tc>
        <w:tc>
          <w:tcPr>
            <w:tcW w:w="39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0371F" w:rsidRPr="004648D0" w:rsidRDefault="00E0371F" w:rsidP="00E0371F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 xml:space="preserve">Bulunmamalıdır. </w:t>
            </w:r>
          </w:p>
        </w:tc>
      </w:tr>
    </w:tbl>
    <w:p w:rsidR="00E0371F" w:rsidRDefault="00E0371F" w:rsidP="00E0371F">
      <w:pPr>
        <w:rPr>
          <w:rFonts w:ascii="Cambria" w:hAnsi="Cambria" w:cs="Arial"/>
          <w:b/>
          <w:noProof w:val="0"/>
          <w:sz w:val="22"/>
          <w:szCs w:val="22"/>
        </w:rPr>
      </w:pPr>
    </w:p>
    <w:p w:rsidR="004648D0" w:rsidRPr="004648D0" w:rsidRDefault="004648D0" w:rsidP="00E0371F">
      <w:pPr>
        <w:rPr>
          <w:rFonts w:ascii="Cambria" w:hAnsi="Cambria" w:cs="Arial"/>
          <w:b/>
          <w:noProof w:val="0"/>
          <w:sz w:val="22"/>
          <w:szCs w:val="22"/>
        </w:rPr>
      </w:pPr>
    </w:p>
    <w:p w:rsidR="000E5414" w:rsidRPr="004648D0" w:rsidRDefault="00C806DB" w:rsidP="00C806DB">
      <w:pPr>
        <w:pStyle w:val="ListeParagraf"/>
        <w:numPr>
          <w:ilvl w:val="0"/>
          <w:numId w:val="19"/>
        </w:numPr>
        <w:jc w:val="left"/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 xml:space="preserve">Madde </w:t>
      </w:r>
      <w:r w:rsidR="000E5414" w:rsidRPr="004648D0">
        <w:rPr>
          <w:rFonts w:ascii="Cambria" w:hAnsi="Cambria"/>
          <w:sz w:val="22"/>
          <w:szCs w:val="22"/>
        </w:rPr>
        <w:t>4.2.2 Kimyasal özellikler</w:t>
      </w:r>
      <w:r w:rsidR="00DC37E1" w:rsidRPr="004648D0">
        <w:rPr>
          <w:rFonts w:ascii="Cambria" w:hAnsi="Cambria"/>
          <w:sz w:val="22"/>
          <w:szCs w:val="22"/>
        </w:rPr>
        <w:t xml:space="preserve"> “Çizelge 2”</w:t>
      </w:r>
      <w:r w:rsidR="000E5414" w:rsidRPr="004648D0">
        <w:rPr>
          <w:rFonts w:ascii="Cambria" w:hAnsi="Cambria"/>
          <w:sz w:val="22"/>
          <w:szCs w:val="22"/>
        </w:rPr>
        <w:t xml:space="preserve"> aşağıdaki şekilde değiştirilmiştir</w:t>
      </w:r>
      <w:r w:rsidR="006A0E6B" w:rsidRPr="004648D0">
        <w:rPr>
          <w:rFonts w:ascii="Cambria" w:hAnsi="Cambria"/>
          <w:sz w:val="22"/>
          <w:szCs w:val="22"/>
        </w:rPr>
        <w:t>;</w:t>
      </w:r>
      <w:r w:rsidR="000E5414" w:rsidRPr="004648D0">
        <w:rPr>
          <w:rFonts w:ascii="Cambria" w:hAnsi="Cambria"/>
          <w:sz w:val="22"/>
          <w:szCs w:val="22"/>
        </w:rPr>
        <w:t xml:space="preserve"> </w:t>
      </w:r>
    </w:p>
    <w:p w:rsidR="00DC37E1" w:rsidRPr="004648D0" w:rsidRDefault="00DC37E1" w:rsidP="000E5414">
      <w:pPr>
        <w:rPr>
          <w:rFonts w:ascii="Cambria" w:hAnsi="Cambria" w:cs="Arial"/>
          <w:b/>
          <w:noProof w:val="0"/>
          <w:sz w:val="22"/>
          <w:szCs w:val="22"/>
        </w:rPr>
      </w:pPr>
    </w:p>
    <w:p w:rsidR="000E5414" w:rsidRDefault="000E5414" w:rsidP="000E5414">
      <w:pPr>
        <w:rPr>
          <w:rFonts w:ascii="Cambria" w:hAnsi="Cambria" w:cs="Arial"/>
          <w:noProof w:val="0"/>
          <w:sz w:val="22"/>
          <w:szCs w:val="22"/>
        </w:rPr>
      </w:pPr>
      <w:r w:rsidRPr="004648D0">
        <w:rPr>
          <w:rFonts w:ascii="Cambria" w:hAnsi="Cambria" w:cs="Arial"/>
          <w:b/>
          <w:noProof w:val="0"/>
          <w:sz w:val="22"/>
          <w:szCs w:val="22"/>
        </w:rPr>
        <w:t>Çizelge 2 -</w:t>
      </w:r>
      <w:r w:rsidRPr="004648D0">
        <w:rPr>
          <w:rFonts w:ascii="Cambria" w:hAnsi="Cambria" w:cs="Arial"/>
          <w:noProof w:val="0"/>
          <w:sz w:val="22"/>
          <w:szCs w:val="22"/>
        </w:rPr>
        <w:t xml:space="preserve"> Ananas nektarının kimyasal özellikleri</w:t>
      </w:r>
    </w:p>
    <w:p w:rsidR="004648D0" w:rsidRPr="004648D0" w:rsidRDefault="004648D0" w:rsidP="000E5414">
      <w:pPr>
        <w:rPr>
          <w:rFonts w:ascii="Cambria" w:hAnsi="Cambria" w:cs="Arial"/>
          <w:noProof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1440"/>
      </w:tblGrid>
      <w:tr w:rsidR="000E5414" w:rsidRPr="004648D0" w:rsidTr="003241CD">
        <w:tc>
          <w:tcPr>
            <w:tcW w:w="6660" w:type="dxa"/>
            <w:vAlign w:val="center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b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b/>
                <w:noProof w:val="0"/>
                <w:sz w:val="22"/>
                <w:szCs w:val="22"/>
              </w:rPr>
              <w:t>Özellikler</w:t>
            </w:r>
          </w:p>
        </w:tc>
        <w:tc>
          <w:tcPr>
            <w:tcW w:w="1440" w:type="dxa"/>
            <w:vAlign w:val="center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b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b/>
                <w:noProof w:val="0"/>
                <w:sz w:val="22"/>
                <w:szCs w:val="22"/>
              </w:rPr>
              <w:t>Değer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0E5414">
            <w:pPr>
              <w:rPr>
                <w:rFonts w:ascii="Cambria" w:hAnsi="Cambria" w:cs="Arial"/>
                <w:noProof w:val="0"/>
                <w:sz w:val="22"/>
                <w:szCs w:val="22"/>
                <w:lang w:val="de-DE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Laktik asit, g/L, en çok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0,5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0E5414">
            <w:pPr>
              <w:rPr>
                <w:rFonts w:ascii="Cambria" w:hAnsi="Cambria" w:cs="Arial"/>
                <w:noProof w:val="0"/>
                <w:sz w:val="22"/>
                <w:szCs w:val="22"/>
                <w:lang w:val="nl-NL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Etil alkol, g/L, en çok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3,0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0E5414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Hidroksimetilfurfural (HMF) mg/L, en çok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20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0E5414" w:rsidP="000E5414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 xml:space="preserve">Sorbik ve benzoik asit 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 w:rsidP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Bulunmamalı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0E5414">
            <w:pPr>
              <w:rPr>
                <w:rFonts w:ascii="Cambria" w:hAnsi="Cambria" w:cs="Arial"/>
                <w:noProof w:val="0"/>
                <w:sz w:val="22"/>
                <w:szCs w:val="22"/>
                <w:lang w:val="fr-FR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 xml:space="preserve">Meyve oranı %(m/m), en az 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50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0E5414" w:rsidP="000E5414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Uçucu asit, g/L, en çok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 w:rsidP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0,4</w:t>
            </w:r>
          </w:p>
        </w:tc>
      </w:tr>
      <w:tr w:rsidR="000E5414" w:rsidRPr="004648D0" w:rsidTr="000E5414">
        <w:tc>
          <w:tcPr>
            <w:tcW w:w="6660" w:type="dxa"/>
          </w:tcPr>
          <w:p w:rsidR="000E5414" w:rsidRPr="004648D0" w:rsidRDefault="00F62C52" w:rsidP="003241CD">
            <w:pPr>
              <w:rPr>
                <w:rFonts w:ascii="Cambria" w:hAnsi="Cambria" w:cs="Arial"/>
                <w:noProof w:val="0"/>
                <w:sz w:val="22"/>
                <w:szCs w:val="22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Kurşun</w:t>
            </w:r>
            <w:r w:rsidR="000E5414" w:rsidRPr="004648D0">
              <w:rPr>
                <w:rFonts w:ascii="Cambria" w:hAnsi="Cambria" w:cs="Arial"/>
                <w:noProof w:val="0"/>
                <w:sz w:val="22"/>
                <w:szCs w:val="22"/>
              </w:rPr>
              <w:t>, mg/kg, en çok</w:t>
            </w:r>
          </w:p>
        </w:tc>
        <w:tc>
          <w:tcPr>
            <w:tcW w:w="1440" w:type="dxa"/>
            <w:shd w:val="clear" w:color="auto" w:fill="auto"/>
          </w:tcPr>
          <w:p w:rsidR="000E5414" w:rsidRPr="004648D0" w:rsidRDefault="000E5414">
            <w:pPr>
              <w:jc w:val="center"/>
              <w:rPr>
                <w:rFonts w:ascii="Cambria" w:hAnsi="Cambria" w:cs="Arial"/>
                <w:noProof w:val="0"/>
                <w:sz w:val="22"/>
                <w:szCs w:val="22"/>
                <w:lang w:val="en-US"/>
              </w:rPr>
            </w:pPr>
            <w:r w:rsidRPr="004648D0">
              <w:rPr>
                <w:rFonts w:ascii="Cambria" w:hAnsi="Cambria" w:cs="Arial"/>
                <w:noProof w:val="0"/>
                <w:sz w:val="22"/>
                <w:szCs w:val="22"/>
              </w:rPr>
              <w:t>0,05</w:t>
            </w:r>
          </w:p>
        </w:tc>
      </w:tr>
    </w:tbl>
    <w:p w:rsidR="000E5414" w:rsidRPr="004648D0" w:rsidRDefault="000E5414" w:rsidP="000E5414">
      <w:pPr>
        <w:tabs>
          <w:tab w:val="left" w:pos="360"/>
          <w:tab w:val="left" w:pos="1080"/>
          <w:tab w:val="left" w:pos="1440"/>
        </w:tabs>
        <w:rPr>
          <w:rFonts w:ascii="Cambria" w:hAnsi="Cambria" w:cs="Arial"/>
          <w:b/>
          <w:noProof w:val="0"/>
          <w:sz w:val="22"/>
          <w:szCs w:val="22"/>
          <w:lang w:eastAsia="zh-CN"/>
        </w:rPr>
      </w:pPr>
      <w:r w:rsidRPr="004648D0">
        <w:rPr>
          <w:rFonts w:ascii="Cambria" w:hAnsi="Cambria" w:cs="Arial"/>
          <w:b/>
          <w:noProof w:val="0"/>
          <w:sz w:val="22"/>
          <w:szCs w:val="22"/>
          <w:lang w:eastAsia="zh-CN"/>
        </w:rPr>
        <w:br w:type="textWrapping" w:clear="all"/>
      </w:r>
    </w:p>
    <w:p w:rsidR="00F62C52" w:rsidRDefault="00F62C52" w:rsidP="000E5414">
      <w:pPr>
        <w:ind w:firstLine="708"/>
        <w:rPr>
          <w:rFonts w:ascii="Cambria" w:hAnsi="Cambria"/>
          <w:sz w:val="22"/>
          <w:szCs w:val="22"/>
        </w:rPr>
      </w:pPr>
    </w:p>
    <w:p w:rsidR="004648D0" w:rsidRDefault="004648D0" w:rsidP="000E5414">
      <w:pPr>
        <w:ind w:firstLine="708"/>
        <w:rPr>
          <w:rFonts w:ascii="Cambria" w:hAnsi="Cambria"/>
          <w:sz w:val="22"/>
          <w:szCs w:val="22"/>
        </w:rPr>
      </w:pPr>
    </w:p>
    <w:p w:rsidR="004648D0" w:rsidRDefault="004648D0" w:rsidP="000E5414">
      <w:pPr>
        <w:ind w:firstLine="708"/>
        <w:rPr>
          <w:rFonts w:ascii="Cambria" w:hAnsi="Cambria"/>
          <w:sz w:val="22"/>
          <w:szCs w:val="22"/>
        </w:rPr>
      </w:pPr>
    </w:p>
    <w:p w:rsidR="004648D0" w:rsidRDefault="004648D0" w:rsidP="000E5414">
      <w:pPr>
        <w:ind w:firstLine="708"/>
        <w:rPr>
          <w:rFonts w:ascii="Cambria" w:hAnsi="Cambria"/>
          <w:sz w:val="22"/>
          <w:szCs w:val="22"/>
        </w:rPr>
      </w:pPr>
    </w:p>
    <w:p w:rsidR="004648D0" w:rsidRDefault="004648D0" w:rsidP="000E5414">
      <w:pPr>
        <w:ind w:firstLine="708"/>
        <w:rPr>
          <w:rFonts w:ascii="Cambria" w:hAnsi="Cambria"/>
          <w:sz w:val="22"/>
          <w:szCs w:val="22"/>
        </w:rPr>
      </w:pPr>
    </w:p>
    <w:p w:rsidR="004648D0" w:rsidRDefault="004648D0" w:rsidP="000E5414">
      <w:pPr>
        <w:ind w:firstLine="708"/>
        <w:rPr>
          <w:rFonts w:ascii="Cambria" w:hAnsi="Cambria"/>
          <w:sz w:val="22"/>
          <w:szCs w:val="22"/>
        </w:rPr>
      </w:pPr>
    </w:p>
    <w:p w:rsidR="004648D0" w:rsidRPr="004648D0" w:rsidRDefault="004648D0" w:rsidP="000E5414">
      <w:pPr>
        <w:ind w:firstLine="708"/>
        <w:rPr>
          <w:rFonts w:ascii="Cambria" w:hAnsi="Cambria"/>
          <w:sz w:val="22"/>
          <w:szCs w:val="22"/>
        </w:rPr>
      </w:pPr>
    </w:p>
    <w:p w:rsidR="00EE01A5" w:rsidRPr="004648D0" w:rsidRDefault="00F62C52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4.3 Özellik, muayene ve deney madde numaraları</w:t>
      </w:r>
      <w:r w:rsidR="0087552C" w:rsidRPr="004648D0">
        <w:rPr>
          <w:rFonts w:ascii="Cambria" w:hAnsi="Cambria"/>
          <w:sz w:val="22"/>
          <w:szCs w:val="22"/>
        </w:rPr>
        <w:t xml:space="preserve"> “Çizelge 4”</w:t>
      </w:r>
      <w:r w:rsidRPr="004648D0">
        <w:rPr>
          <w:rFonts w:ascii="Cambria" w:hAnsi="Cambria"/>
          <w:sz w:val="22"/>
          <w:szCs w:val="22"/>
        </w:rPr>
        <w:t xml:space="preserve"> aşağıdaki şekilde değiştirilmiştir</w:t>
      </w:r>
      <w:r w:rsidR="006A0E6B" w:rsidRPr="004648D0">
        <w:rPr>
          <w:rFonts w:ascii="Cambria" w:hAnsi="Cambria"/>
          <w:sz w:val="22"/>
          <w:szCs w:val="22"/>
        </w:rPr>
        <w:t>;</w:t>
      </w:r>
      <w:r w:rsidRPr="004648D0">
        <w:rPr>
          <w:rFonts w:ascii="Cambria" w:hAnsi="Cambria"/>
          <w:sz w:val="22"/>
          <w:szCs w:val="22"/>
        </w:rPr>
        <w:t xml:space="preserve"> </w:t>
      </w:r>
    </w:p>
    <w:p w:rsidR="00F62C52" w:rsidRPr="004648D0" w:rsidRDefault="00F62C52" w:rsidP="00F62C52">
      <w:pPr>
        <w:rPr>
          <w:rFonts w:ascii="Cambria" w:hAnsi="Cambria"/>
          <w:b/>
          <w:sz w:val="22"/>
          <w:szCs w:val="22"/>
        </w:rPr>
      </w:pPr>
    </w:p>
    <w:p w:rsidR="00F62C52" w:rsidRDefault="00F62C52" w:rsidP="00F62C52">
      <w:p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b/>
          <w:sz w:val="22"/>
          <w:szCs w:val="22"/>
        </w:rPr>
        <w:t>Çizelge 4 -</w:t>
      </w:r>
      <w:r w:rsidRPr="004648D0">
        <w:rPr>
          <w:rFonts w:ascii="Cambria" w:hAnsi="Cambria"/>
          <w:sz w:val="22"/>
          <w:szCs w:val="22"/>
        </w:rPr>
        <w:t xml:space="preserve"> Özellik, muayene ve deney madde numaralar</w:t>
      </w:r>
    </w:p>
    <w:p w:rsidR="004648D0" w:rsidRPr="004648D0" w:rsidRDefault="004648D0" w:rsidP="00F62C52">
      <w:pPr>
        <w:rPr>
          <w:rFonts w:ascii="Cambria" w:hAnsi="Cambria"/>
          <w:sz w:val="22"/>
          <w:szCs w:val="22"/>
        </w:rPr>
      </w:pPr>
    </w:p>
    <w:tbl>
      <w:tblPr>
        <w:tblW w:w="9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700"/>
        <w:gridCol w:w="3260"/>
      </w:tblGrid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Özellik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Özellik madde 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48D0">
              <w:rPr>
                <w:rFonts w:ascii="Cambria" w:hAnsi="Cambria"/>
                <w:b/>
                <w:sz w:val="22"/>
                <w:szCs w:val="22"/>
              </w:rPr>
              <w:t>Muayene ve deney madde no.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Ambalaj</w:t>
            </w:r>
            <w:r w:rsidR="0087683D" w:rsidRPr="004648D0">
              <w:rPr>
                <w:rFonts w:ascii="Cambria" w:hAnsi="Cambria"/>
                <w:sz w:val="22"/>
                <w:szCs w:val="22"/>
              </w:rPr>
              <w:t xml:space="preserve"> ve işaretleme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6.1 ve 6.2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5.2.1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Duyusal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5.2.2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Laktik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 xml:space="preserve">Uçucu asit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4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Etil alkol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HMF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6C1E08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Sorbik ve benzoik asit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6C1E08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Kurşun</w:t>
            </w:r>
            <w:r w:rsidR="00F62C52" w:rsidRPr="004648D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Meyve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9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Mezofilik aerobik bakteri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Küf ve maya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11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Koliform bakteri (EMS)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4.2.3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5.3.1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F62C52" w:rsidRPr="004648D0" w:rsidTr="00D806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F62C52">
            <w:pPr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Dolum oranı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2" w:rsidRPr="004648D0" w:rsidRDefault="00F62C52" w:rsidP="003241CD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648D0">
              <w:rPr>
                <w:rFonts w:ascii="Cambria" w:hAnsi="Cambria"/>
                <w:sz w:val="22"/>
                <w:szCs w:val="22"/>
              </w:rPr>
              <w:t>5.3.1</w:t>
            </w:r>
            <w:r w:rsidR="006A0E6B" w:rsidRPr="004648D0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</w:tbl>
    <w:p w:rsidR="00F62C52" w:rsidRPr="004648D0" w:rsidRDefault="00F62C52" w:rsidP="00F62C52">
      <w:pPr>
        <w:rPr>
          <w:rFonts w:ascii="Cambria" w:hAnsi="Cambria"/>
          <w:sz w:val="22"/>
          <w:szCs w:val="22"/>
        </w:rPr>
      </w:pPr>
    </w:p>
    <w:p w:rsidR="00F62C52" w:rsidRPr="004648D0" w:rsidRDefault="00F62C52" w:rsidP="003241CD">
      <w:pPr>
        <w:rPr>
          <w:rFonts w:ascii="Cambria" w:hAnsi="Cambria"/>
          <w:sz w:val="22"/>
          <w:szCs w:val="22"/>
        </w:rPr>
      </w:pPr>
    </w:p>
    <w:p w:rsidR="00F62C52" w:rsidRPr="004648D0" w:rsidRDefault="006C1E08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 xml:space="preserve">Madde 5.1 “Numune alma”  aşağıdaki şekilde değiştirilmiştir. </w:t>
      </w:r>
    </w:p>
    <w:p w:rsidR="006C1E08" w:rsidRPr="004648D0" w:rsidRDefault="006C1E08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6C1E08" w:rsidRPr="004648D0" w:rsidRDefault="006C1E08" w:rsidP="006C1E08">
      <w:pPr>
        <w:pStyle w:val="Balk2"/>
        <w:rPr>
          <w:rFonts w:ascii="Cambria" w:hAnsi="Cambria"/>
          <w:sz w:val="22"/>
          <w:szCs w:val="22"/>
        </w:rPr>
      </w:pPr>
      <w:bookmarkStart w:id="11" w:name="_Toc161722147"/>
      <w:bookmarkStart w:id="12" w:name="_Toc197935171"/>
      <w:r w:rsidRPr="004648D0">
        <w:rPr>
          <w:rFonts w:ascii="Cambria" w:hAnsi="Cambria"/>
          <w:sz w:val="22"/>
          <w:szCs w:val="22"/>
        </w:rPr>
        <w:t>5.1</w:t>
      </w:r>
      <w:r w:rsidRPr="004648D0">
        <w:rPr>
          <w:rFonts w:ascii="Cambria" w:hAnsi="Cambria"/>
          <w:sz w:val="22"/>
          <w:szCs w:val="22"/>
        </w:rPr>
        <w:tab/>
        <w:t>Numune alma</w:t>
      </w:r>
      <w:bookmarkEnd w:id="11"/>
      <w:bookmarkEnd w:id="12"/>
    </w:p>
    <w:p w:rsidR="00C17042" w:rsidRPr="004648D0" w:rsidRDefault="006C1E08" w:rsidP="006C1E08">
      <w:pPr>
        <w:rPr>
          <w:rFonts w:ascii="Cambria" w:hAnsi="Cambria" w:cs="Arial"/>
          <w:sz w:val="22"/>
          <w:szCs w:val="22"/>
        </w:rPr>
      </w:pPr>
      <w:r w:rsidRPr="004648D0">
        <w:rPr>
          <w:rFonts w:ascii="Cambria" w:hAnsi="Cambria" w:cs="Arial"/>
          <w:sz w:val="22"/>
          <w:szCs w:val="22"/>
        </w:rPr>
        <w:t xml:space="preserve">Ambalajı, ambalaj büyüklüğü, üretim tarihi veya tavsiye edilen tüketim tarihi, parti veya seri numarası aynı olan ve bir seferde muayeneye sunulan ananas nektarı bir parti sayılır ve partiden numune TS 13568’e  </w:t>
      </w:r>
      <w:r w:rsidR="00C17042" w:rsidRPr="004648D0">
        <w:rPr>
          <w:rFonts w:ascii="Cambria" w:hAnsi="Cambria" w:cs="Arial"/>
          <w:sz w:val="22"/>
          <w:szCs w:val="22"/>
        </w:rPr>
        <w:t xml:space="preserve">göre alınır. </w:t>
      </w:r>
    </w:p>
    <w:p w:rsidR="00C17042" w:rsidRDefault="00C17042" w:rsidP="006C1E08">
      <w:pPr>
        <w:rPr>
          <w:rFonts w:ascii="Cambria" w:hAnsi="Cambria" w:cs="Arial"/>
          <w:sz w:val="22"/>
          <w:szCs w:val="22"/>
        </w:rPr>
      </w:pPr>
    </w:p>
    <w:p w:rsidR="004648D0" w:rsidRPr="004648D0" w:rsidRDefault="004648D0" w:rsidP="006C1E08">
      <w:pPr>
        <w:rPr>
          <w:rFonts w:ascii="Cambria" w:hAnsi="Cambria" w:cs="Arial"/>
          <w:sz w:val="22"/>
          <w:szCs w:val="22"/>
        </w:rPr>
      </w:pPr>
    </w:p>
    <w:p w:rsidR="006C1E08" w:rsidRPr="004648D0" w:rsidRDefault="001F6D74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5.3.1 “Çözünür katı madde tayini” standart metninden çıkartılmıştır.</w:t>
      </w:r>
    </w:p>
    <w:p w:rsidR="0087552C" w:rsidRDefault="0087552C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4648D0" w:rsidRPr="004648D0" w:rsidRDefault="004648D0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87552C" w:rsidRPr="004648D0" w:rsidRDefault="001F6D74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5.3.2 “Titrasyon asitliği tayini” standart metninden çıkartılmıştır.</w:t>
      </w:r>
    </w:p>
    <w:p w:rsidR="001F6D74" w:rsidRPr="004648D0" w:rsidRDefault="001F6D74" w:rsidP="003241CD">
      <w:pPr>
        <w:rPr>
          <w:rFonts w:ascii="Cambria" w:hAnsi="Cambria"/>
          <w:sz w:val="22"/>
          <w:szCs w:val="22"/>
        </w:rPr>
      </w:pPr>
    </w:p>
    <w:p w:rsidR="00205669" w:rsidRPr="004648D0" w:rsidRDefault="0087552C" w:rsidP="003241CD">
      <w:pPr>
        <w:rPr>
          <w:rFonts w:ascii="Cambria" w:hAnsi="Cambria"/>
          <w:sz w:val="22"/>
          <w:szCs w:val="22"/>
          <w:highlight w:val="yellow"/>
        </w:rPr>
      </w:pPr>
      <w:r w:rsidRPr="004648D0">
        <w:rPr>
          <w:rFonts w:ascii="Cambria" w:hAnsi="Cambria"/>
          <w:sz w:val="22"/>
          <w:szCs w:val="22"/>
        </w:rPr>
        <w:t xml:space="preserve">Sonraki </w:t>
      </w:r>
      <w:r w:rsidR="00205669" w:rsidRPr="004648D0">
        <w:rPr>
          <w:rFonts w:ascii="Cambria" w:hAnsi="Cambria"/>
          <w:sz w:val="22"/>
          <w:szCs w:val="22"/>
        </w:rPr>
        <w:t xml:space="preserve">madde numaraları teselsül ettirilmiştir. </w:t>
      </w:r>
    </w:p>
    <w:p w:rsidR="006440EF" w:rsidRDefault="006440EF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4648D0" w:rsidRPr="004648D0" w:rsidRDefault="004648D0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205669" w:rsidRPr="004648D0" w:rsidRDefault="00205669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5.3.</w:t>
      </w:r>
      <w:r w:rsidR="00DC37E1" w:rsidRPr="004648D0">
        <w:rPr>
          <w:rFonts w:ascii="Cambria" w:hAnsi="Cambria"/>
          <w:sz w:val="22"/>
          <w:szCs w:val="22"/>
        </w:rPr>
        <w:t>5</w:t>
      </w:r>
      <w:r w:rsidRPr="004648D0">
        <w:rPr>
          <w:rFonts w:ascii="Cambria" w:hAnsi="Cambria"/>
          <w:sz w:val="22"/>
          <w:szCs w:val="22"/>
        </w:rPr>
        <w:t xml:space="preserve"> “Etil alkol tayini”</w:t>
      </w:r>
      <w:r w:rsidR="006440EF" w:rsidRPr="004648D0">
        <w:rPr>
          <w:rFonts w:ascii="Cambria" w:hAnsi="Cambria"/>
          <w:sz w:val="22"/>
          <w:szCs w:val="22"/>
        </w:rPr>
        <w:t xml:space="preserve"> aşağıdaki şekilde değiş</w:t>
      </w:r>
      <w:r w:rsidRPr="004648D0">
        <w:rPr>
          <w:rFonts w:ascii="Cambria" w:hAnsi="Cambria"/>
          <w:sz w:val="22"/>
          <w:szCs w:val="22"/>
        </w:rPr>
        <w:t xml:space="preserve">tirilmiştir. </w:t>
      </w:r>
    </w:p>
    <w:p w:rsidR="00205669" w:rsidRPr="004648D0" w:rsidRDefault="00205669" w:rsidP="00205669">
      <w:pPr>
        <w:rPr>
          <w:rFonts w:ascii="Cambria" w:hAnsi="Cambria" w:cs="Arial"/>
          <w:b/>
          <w:noProof w:val="0"/>
          <w:sz w:val="22"/>
          <w:szCs w:val="22"/>
        </w:rPr>
      </w:pPr>
    </w:p>
    <w:p w:rsidR="00205669" w:rsidRPr="004648D0" w:rsidRDefault="00166A50" w:rsidP="003241CD">
      <w:pPr>
        <w:tabs>
          <w:tab w:val="num" w:pos="1080"/>
        </w:tabs>
        <w:rPr>
          <w:rFonts w:ascii="Cambria" w:hAnsi="Cambria" w:cs="Arial"/>
          <w:b/>
          <w:noProof w:val="0"/>
          <w:sz w:val="22"/>
          <w:szCs w:val="22"/>
        </w:rPr>
      </w:pPr>
      <w:r w:rsidRPr="004648D0">
        <w:rPr>
          <w:rFonts w:ascii="Cambria" w:hAnsi="Cambria" w:cs="Arial"/>
          <w:b/>
          <w:noProof w:val="0"/>
          <w:sz w:val="22"/>
          <w:szCs w:val="22"/>
        </w:rPr>
        <w:t>5.3.</w:t>
      </w:r>
      <w:r w:rsidR="00DC37E1" w:rsidRPr="004648D0">
        <w:rPr>
          <w:rFonts w:ascii="Cambria" w:hAnsi="Cambria" w:cs="Arial"/>
          <w:b/>
          <w:noProof w:val="0"/>
          <w:sz w:val="22"/>
          <w:szCs w:val="22"/>
        </w:rPr>
        <w:t>5</w:t>
      </w:r>
      <w:r w:rsidRPr="004648D0">
        <w:rPr>
          <w:rFonts w:ascii="Cambria" w:hAnsi="Cambria" w:cs="Arial"/>
          <w:b/>
          <w:noProof w:val="0"/>
          <w:sz w:val="22"/>
          <w:szCs w:val="22"/>
        </w:rPr>
        <w:t xml:space="preserve"> </w:t>
      </w:r>
      <w:r w:rsidR="00205669" w:rsidRPr="004648D0">
        <w:rPr>
          <w:rFonts w:ascii="Cambria" w:hAnsi="Cambria" w:cs="Arial"/>
          <w:b/>
          <w:noProof w:val="0"/>
          <w:sz w:val="22"/>
          <w:szCs w:val="22"/>
        </w:rPr>
        <w:t>Etil alkol tayini</w:t>
      </w:r>
    </w:p>
    <w:p w:rsidR="00205669" w:rsidRPr="004648D0" w:rsidRDefault="00205669" w:rsidP="00205669">
      <w:pPr>
        <w:rPr>
          <w:rFonts w:ascii="Cambria" w:hAnsi="Cambria" w:cs="Arial"/>
          <w:noProof w:val="0"/>
          <w:sz w:val="22"/>
          <w:szCs w:val="22"/>
        </w:rPr>
      </w:pPr>
      <w:r w:rsidRPr="004648D0">
        <w:rPr>
          <w:rFonts w:ascii="Cambria" w:hAnsi="Cambria" w:cs="Arial"/>
          <w:noProof w:val="0"/>
          <w:sz w:val="22"/>
          <w:szCs w:val="22"/>
        </w:rPr>
        <w:t>Etil alkol tayini, TS 1594 ISO 2448’e göre yapılır ve sonucun Madde 4.2.2’ye uygun olup olmadığına bakılır.</w:t>
      </w:r>
    </w:p>
    <w:p w:rsidR="006440EF" w:rsidRDefault="006440EF" w:rsidP="00205669">
      <w:pPr>
        <w:rPr>
          <w:rFonts w:ascii="Cambria" w:hAnsi="Cambria" w:cs="Arial"/>
          <w:noProof w:val="0"/>
          <w:sz w:val="22"/>
          <w:szCs w:val="22"/>
        </w:rPr>
      </w:pPr>
    </w:p>
    <w:p w:rsidR="004648D0" w:rsidRPr="004648D0" w:rsidRDefault="004648D0" w:rsidP="00205669">
      <w:pPr>
        <w:rPr>
          <w:rFonts w:ascii="Cambria" w:hAnsi="Cambria" w:cs="Arial"/>
          <w:noProof w:val="0"/>
          <w:sz w:val="22"/>
          <w:szCs w:val="22"/>
        </w:rPr>
      </w:pPr>
    </w:p>
    <w:p w:rsidR="00205669" w:rsidRPr="004648D0" w:rsidRDefault="00166A50" w:rsidP="003241CD">
      <w:pPr>
        <w:pStyle w:val="ListeParagraf"/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4648D0">
        <w:rPr>
          <w:rFonts w:ascii="Cambria" w:hAnsi="Cambria"/>
          <w:sz w:val="22"/>
          <w:szCs w:val="22"/>
        </w:rPr>
        <w:t>Madde 5.3.</w:t>
      </w:r>
      <w:r w:rsidR="00DC37E1" w:rsidRPr="004648D0">
        <w:rPr>
          <w:rFonts w:ascii="Cambria" w:hAnsi="Cambria"/>
          <w:sz w:val="22"/>
          <w:szCs w:val="22"/>
        </w:rPr>
        <w:t>8</w:t>
      </w:r>
      <w:r w:rsidRPr="004648D0">
        <w:rPr>
          <w:rFonts w:ascii="Cambria" w:hAnsi="Cambria"/>
          <w:sz w:val="22"/>
          <w:szCs w:val="22"/>
        </w:rPr>
        <w:t xml:space="preserve"> “Metalik madde tayini” başlığıyla birlikte aşağıdaki şekilde değiştirilmiştir. </w:t>
      </w:r>
    </w:p>
    <w:p w:rsidR="003F5033" w:rsidRPr="004648D0" w:rsidRDefault="003F5033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p w:rsidR="00166A50" w:rsidRPr="004648D0" w:rsidRDefault="00166A50" w:rsidP="00166A50">
      <w:pPr>
        <w:tabs>
          <w:tab w:val="num" w:pos="1080"/>
        </w:tabs>
        <w:rPr>
          <w:rFonts w:ascii="Cambria" w:hAnsi="Cambria" w:cs="Arial"/>
          <w:b/>
          <w:noProof w:val="0"/>
          <w:sz w:val="22"/>
          <w:szCs w:val="22"/>
        </w:rPr>
      </w:pPr>
      <w:r w:rsidRPr="004648D0">
        <w:rPr>
          <w:rFonts w:ascii="Cambria" w:hAnsi="Cambria" w:cs="Arial"/>
          <w:b/>
          <w:noProof w:val="0"/>
          <w:sz w:val="22"/>
          <w:szCs w:val="22"/>
        </w:rPr>
        <w:t>5.3.</w:t>
      </w:r>
      <w:r w:rsidR="00DC37E1" w:rsidRPr="004648D0">
        <w:rPr>
          <w:rFonts w:ascii="Cambria" w:hAnsi="Cambria" w:cs="Arial"/>
          <w:b/>
          <w:noProof w:val="0"/>
          <w:sz w:val="22"/>
          <w:szCs w:val="22"/>
        </w:rPr>
        <w:t>8</w:t>
      </w:r>
      <w:r w:rsidRPr="004648D0">
        <w:rPr>
          <w:rFonts w:ascii="Cambria" w:hAnsi="Cambria" w:cs="Arial"/>
          <w:b/>
          <w:noProof w:val="0"/>
          <w:sz w:val="22"/>
          <w:szCs w:val="22"/>
        </w:rPr>
        <w:t xml:space="preserve"> Kurşun tayini</w:t>
      </w:r>
    </w:p>
    <w:p w:rsidR="00166A50" w:rsidRPr="004648D0" w:rsidRDefault="00166A50" w:rsidP="00166A50">
      <w:pPr>
        <w:rPr>
          <w:rFonts w:ascii="Cambria" w:hAnsi="Cambria" w:cs="Arial"/>
          <w:noProof w:val="0"/>
          <w:sz w:val="22"/>
          <w:szCs w:val="22"/>
        </w:rPr>
      </w:pPr>
      <w:r w:rsidRPr="004648D0">
        <w:rPr>
          <w:rFonts w:ascii="Cambria" w:hAnsi="Cambria" w:cs="Arial"/>
          <w:noProof w:val="0"/>
          <w:sz w:val="22"/>
          <w:szCs w:val="22"/>
        </w:rPr>
        <w:t>Kurşun tayini, TS EN 14084’e göre yapılır ve sonucun Madde 4.2.2’ye uygun olup olmadığına bakılır</w:t>
      </w:r>
      <w:r w:rsidR="007B113A" w:rsidRPr="004648D0">
        <w:rPr>
          <w:rFonts w:ascii="Cambria" w:hAnsi="Cambria" w:cs="Arial"/>
          <w:noProof w:val="0"/>
          <w:sz w:val="22"/>
          <w:szCs w:val="22"/>
        </w:rPr>
        <w:t>.</w:t>
      </w:r>
    </w:p>
    <w:p w:rsidR="00166A50" w:rsidRPr="004648D0" w:rsidRDefault="00166A50" w:rsidP="003241CD">
      <w:pPr>
        <w:pStyle w:val="ListeParagraf"/>
        <w:ind w:left="720"/>
        <w:rPr>
          <w:rFonts w:ascii="Cambria" w:hAnsi="Cambria"/>
          <w:sz w:val="22"/>
          <w:szCs w:val="22"/>
        </w:rPr>
      </w:pPr>
    </w:p>
    <w:sectPr w:rsidR="00166A50" w:rsidRPr="004648D0" w:rsidSect="003241CD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FC" w:rsidRDefault="006152FC" w:rsidP="004316CC">
      <w:r>
        <w:separator/>
      </w:r>
    </w:p>
  </w:endnote>
  <w:endnote w:type="continuationSeparator" w:id="0">
    <w:p w:rsidR="006152FC" w:rsidRDefault="006152FC" w:rsidP="0043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FC" w:rsidRDefault="006152FC" w:rsidP="004316CC">
      <w:r>
        <w:separator/>
      </w:r>
    </w:p>
  </w:footnote>
  <w:footnote w:type="continuationSeparator" w:id="0">
    <w:p w:rsidR="006152FC" w:rsidRDefault="006152FC" w:rsidP="0043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1318336367"/>
      <w:docPartObj>
        <w:docPartGallery w:val="Page Numbers (Top of Page)"/>
        <w:docPartUnique/>
      </w:docPartObj>
    </w:sdtPr>
    <w:sdtEndPr/>
    <w:sdtContent>
      <w:p w:rsidR="004316CC" w:rsidRPr="004648D0" w:rsidRDefault="004316CC" w:rsidP="004316CC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4648D0">
          <w:rPr>
            <w:rFonts w:ascii="Cambria" w:hAnsi="Cambria"/>
          </w:rPr>
          <w:t xml:space="preserve">Sayfa </w:t>
        </w:r>
        <w:r w:rsidRPr="004648D0">
          <w:rPr>
            <w:rFonts w:ascii="Cambria" w:hAnsi="Cambria"/>
            <w:b/>
            <w:bCs/>
            <w:sz w:val="24"/>
          </w:rPr>
          <w:fldChar w:fldCharType="begin"/>
        </w:r>
        <w:r w:rsidRPr="004648D0">
          <w:rPr>
            <w:rFonts w:ascii="Cambria" w:hAnsi="Cambria"/>
            <w:b/>
            <w:bCs/>
          </w:rPr>
          <w:instrText>PAGE</w:instrText>
        </w:r>
        <w:r w:rsidRPr="004648D0">
          <w:rPr>
            <w:rFonts w:ascii="Cambria" w:hAnsi="Cambria"/>
            <w:b/>
            <w:bCs/>
            <w:sz w:val="24"/>
          </w:rPr>
          <w:fldChar w:fldCharType="separate"/>
        </w:r>
        <w:r w:rsidR="003361A8" w:rsidRPr="004648D0">
          <w:rPr>
            <w:rFonts w:ascii="Cambria" w:hAnsi="Cambria"/>
            <w:b/>
            <w:bCs/>
          </w:rPr>
          <w:t>2</w:t>
        </w:r>
        <w:r w:rsidRPr="004648D0">
          <w:rPr>
            <w:rFonts w:ascii="Cambria" w:hAnsi="Cambria"/>
            <w:b/>
            <w:bCs/>
            <w:sz w:val="24"/>
          </w:rPr>
          <w:fldChar w:fldCharType="end"/>
        </w:r>
        <w:r w:rsidRPr="004648D0">
          <w:rPr>
            <w:rFonts w:ascii="Cambria" w:hAnsi="Cambria"/>
          </w:rPr>
          <w:t xml:space="preserve"> / </w:t>
        </w:r>
        <w:r w:rsidRPr="004648D0">
          <w:rPr>
            <w:rFonts w:ascii="Cambria" w:hAnsi="Cambria"/>
            <w:b/>
            <w:bCs/>
            <w:sz w:val="24"/>
          </w:rPr>
          <w:fldChar w:fldCharType="begin"/>
        </w:r>
        <w:r w:rsidRPr="004648D0">
          <w:rPr>
            <w:rFonts w:ascii="Cambria" w:hAnsi="Cambria"/>
            <w:b/>
            <w:bCs/>
          </w:rPr>
          <w:instrText>NUMPAGES</w:instrText>
        </w:r>
        <w:r w:rsidRPr="004648D0">
          <w:rPr>
            <w:rFonts w:ascii="Cambria" w:hAnsi="Cambria"/>
            <w:b/>
            <w:bCs/>
            <w:sz w:val="24"/>
          </w:rPr>
          <w:fldChar w:fldCharType="separate"/>
        </w:r>
        <w:r w:rsidR="003361A8" w:rsidRPr="004648D0">
          <w:rPr>
            <w:rFonts w:ascii="Cambria" w:hAnsi="Cambria"/>
            <w:b/>
            <w:bCs/>
          </w:rPr>
          <w:t>3</w:t>
        </w:r>
        <w:r w:rsidRPr="004648D0">
          <w:rPr>
            <w:rFonts w:ascii="Cambria" w:hAnsi="Cambria"/>
            <w:b/>
            <w:bCs/>
            <w:sz w:val="24"/>
          </w:rPr>
          <w:fldChar w:fldCharType="end"/>
        </w:r>
      </w:p>
      <w:p w:rsidR="004316CC" w:rsidRPr="004648D0" w:rsidRDefault="004316CC" w:rsidP="004316CC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4648D0">
          <w:rPr>
            <w:rFonts w:ascii="Cambria" w:hAnsi="Cambria" w:cs="Arial"/>
            <w:u w:val="single"/>
          </w:rPr>
          <w:t xml:space="preserve">ICS 67.160.20     </w:t>
        </w:r>
        <w:r w:rsidRPr="004648D0">
          <w:rPr>
            <w:rFonts w:ascii="Cambria" w:hAnsi="Cambria" w:cs="Arial"/>
            <w:u w:val="single"/>
          </w:rPr>
          <w:tab/>
          <w:t xml:space="preserve">     TS 12395:2008/tst T2</w:t>
        </w:r>
      </w:p>
    </w:sdtContent>
  </w:sdt>
  <w:p w:rsidR="004316CC" w:rsidRDefault="004316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Cs w:val="20"/>
      </w:rPr>
      <w:id w:val="-667548750"/>
      <w:docPartObj>
        <w:docPartGallery w:val="Page Numbers (Top of Page)"/>
        <w:docPartUnique/>
      </w:docPartObj>
    </w:sdtPr>
    <w:sdtEndPr/>
    <w:sdtContent>
      <w:p w:rsidR="004316CC" w:rsidRPr="004648D0" w:rsidRDefault="004316CC" w:rsidP="004316CC">
        <w:pPr>
          <w:pStyle w:val="stBilgi"/>
          <w:jc w:val="right"/>
          <w:rPr>
            <w:rFonts w:ascii="Cambria" w:hAnsi="Cambria"/>
            <w:b/>
            <w:bCs/>
            <w:sz w:val="24"/>
          </w:rPr>
        </w:pPr>
        <w:r w:rsidRPr="004648D0">
          <w:rPr>
            <w:rFonts w:ascii="Cambria" w:hAnsi="Cambria"/>
          </w:rPr>
          <w:t xml:space="preserve">Sayfa </w:t>
        </w:r>
        <w:r w:rsidRPr="004648D0">
          <w:rPr>
            <w:rFonts w:ascii="Cambria" w:hAnsi="Cambria"/>
            <w:b/>
            <w:bCs/>
            <w:sz w:val="24"/>
          </w:rPr>
          <w:fldChar w:fldCharType="begin"/>
        </w:r>
        <w:r w:rsidRPr="004648D0">
          <w:rPr>
            <w:rFonts w:ascii="Cambria" w:hAnsi="Cambria"/>
            <w:b/>
            <w:bCs/>
          </w:rPr>
          <w:instrText>PAGE</w:instrText>
        </w:r>
        <w:r w:rsidRPr="004648D0">
          <w:rPr>
            <w:rFonts w:ascii="Cambria" w:hAnsi="Cambria"/>
            <w:b/>
            <w:bCs/>
            <w:sz w:val="24"/>
          </w:rPr>
          <w:fldChar w:fldCharType="separate"/>
        </w:r>
        <w:r w:rsidR="003361A8" w:rsidRPr="004648D0">
          <w:rPr>
            <w:rFonts w:ascii="Cambria" w:hAnsi="Cambria"/>
            <w:b/>
            <w:bCs/>
          </w:rPr>
          <w:t>3</w:t>
        </w:r>
        <w:r w:rsidRPr="004648D0">
          <w:rPr>
            <w:rFonts w:ascii="Cambria" w:hAnsi="Cambria"/>
            <w:b/>
            <w:bCs/>
            <w:sz w:val="24"/>
          </w:rPr>
          <w:fldChar w:fldCharType="end"/>
        </w:r>
        <w:r w:rsidRPr="004648D0">
          <w:rPr>
            <w:rFonts w:ascii="Cambria" w:hAnsi="Cambria"/>
          </w:rPr>
          <w:t xml:space="preserve"> / </w:t>
        </w:r>
        <w:r w:rsidRPr="004648D0">
          <w:rPr>
            <w:rFonts w:ascii="Cambria" w:hAnsi="Cambria"/>
            <w:b/>
            <w:bCs/>
            <w:sz w:val="24"/>
          </w:rPr>
          <w:fldChar w:fldCharType="begin"/>
        </w:r>
        <w:r w:rsidRPr="004648D0">
          <w:rPr>
            <w:rFonts w:ascii="Cambria" w:hAnsi="Cambria"/>
            <w:b/>
            <w:bCs/>
          </w:rPr>
          <w:instrText>NUMPAGES</w:instrText>
        </w:r>
        <w:r w:rsidRPr="004648D0">
          <w:rPr>
            <w:rFonts w:ascii="Cambria" w:hAnsi="Cambria"/>
            <w:b/>
            <w:bCs/>
            <w:sz w:val="24"/>
          </w:rPr>
          <w:fldChar w:fldCharType="separate"/>
        </w:r>
        <w:r w:rsidR="003361A8" w:rsidRPr="004648D0">
          <w:rPr>
            <w:rFonts w:ascii="Cambria" w:hAnsi="Cambria"/>
            <w:b/>
            <w:bCs/>
          </w:rPr>
          <w:t>3</w:t>
        </w:r>
        <w:r w:rsidRPr="004648D0">
          <w:rPr>
            <w:rFonts w:ascii="Cambria" w:hAnsi="Cambria"/>
            <w:b/>
            <w:bCs/>
            <w:sz w:val="24"/>
          </w:rPr>
          <w:fldChar w:fldCharType="end"/>
        </w:r>
      </w:p>
      <w:p w:rsidR="004316CC" w:rsidRPr="004648D0" w:rsidRDefault="004316CC" w:rsidP="004316CC">
        <w:pPr>
          <w:tabs>
            <w:tab w:val="right" w:pos="9639"/>
          </w:tabs>
          <w:jc w:val="left"/>
          <w:rPr>
            <w:rFonts w:ascii="Cambria" w:hAnsi="Cambria" w:cs="Arial"/>
            <w:u w:val="single"/>
          </w:rPr>
        </w:pPr>
        <w:r w:rsidRPr="004648D0">
          <w:rPr>
            <w:rFonts w:ascii="Cambria" w:hAnsi="Cambria" w:cs="Arial"/>
            <w:u w:val="single"/>
          </w:rPr>
          <w:t xml:space="preserve">ICS 67.160.20     </w:t>
        </w:r>
        <w:r w:rsidRPr="004648D0">
          <w:rPr>
            <w:rFonts w:ascii="Cambria" w:hAnsi="Cambria" w:cs="Arial"/>
            <w:u w:val="single"/>
          </w:rPr>
          <w:tab/>
          <w:t xml:space="preserve">     TS 12395:2008/tst T2</w:t>
        </w:r>
      </w:p>
    </w:sdtContent>
  </w:sdt>
  <w:p w:rsidR="004316CC" w:rsidRDefault="004316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17E"/>
    <w:multiLevelType w:val="hybridMultilevel"/>
    <w:tmpl w:val="F8928D26"/>
    <w:lvl w:ilvl="0" w:tplc="4A029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EFC"/>
    <w:multiLevelType w:val="multilevel"/>
    <w:tmpl w:val="226859B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6FC"/>
    <w:multiLevelType w:val="hybridMultilevel"/>
    <w:tmpl w:val="CF00EFD4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71C5F"/>
    <w:multiLevelType w:val="hybridMultilevel"/>
    <w:tmpl w:val="8F7CF22A"/>
    <w:lvl w:ilvl="0" w:tplc="963E3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D6025"/>
    <w:multiLevelType w:val="multilevel"/>
    <w:tmpl w:val="4DF2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5"/>
  </w:num>
  <w:num w:numId="6">
    <w:abstractNumId w:val="4"/>
  </w:num>
  <w:num w:numId="7">
    <w:abstractNumId w:val="17"/>
  </w:num>
  <w:num w:numId="8">
    <w:abstractNumId w:val="14"/>
  </w:num>
  <w:num w:numId="9">
    <w:abstractNumId w:val="7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6"/>
  </w:num>
  <w:num w:numId="15">
    <w:abstractNumId w:val="12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iuaDX4l/0FMv4XRxfAnTZUUj5qboqTYhmLVVzrLD25ep2rdQiPmgoD/f+fdAK87eGzf36IW/Ac+r1N4yYXZ0aw==" w:salt="rSX3PPKDZOxqa6Y2H9vDf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1046D"/>
    <w:rsid w:val="00013269"/>
    <w:rsid w:val="00017806"/>
    <w:rsid w:val="00027CE2"/>
    <w:rsid w:val="000300AA"/>
    <w:rsid w:val="0003013C"/>
    <w:rsid w:val="00031123"/>
    <w:rsid w:val="00032587"/>
    <w:rsid w:val="00032838"/>
    <w:rsid w:val="00035928"/>
    <w:rsid w:val="00063C7A"/>
    <w:rsid w:val="00081544"/>
    <w:rsid w:val="0009026D"/>
    <w:rsid w:val="0009502F"/>
    <w:rsid w:val="0009787A"/>
    <w:rsid w:val="000A390B"/>
    <w:rsid w:val="000A3EBC"/>
    <w:rsid w:val="000B1A86"/>
    <w:rsid w:val="000B6135"/>
    <w:rsid w:val="000C745A"/>
    <w:rsid w:val="000C762F"/>
    <w:rsid w:val="000D354D"/>
    <w:rsid w:val="000D3F1E"/>
    <w:rsid w:val="000D532C"/>
    <w:rsid w:val="000D6C66"/>
    <w:rsid w:val="000D7B12"/>
    <w:rsid w:val="000E4287"/>
    <w:rsid w:val="000E5414"/>
    <w:rsid w:val="000E77D9"/>
    <w:rsid w:val="000F3C3F"/>
    <w:rsid w:val="001014EF"/>
    <w:rsid w:val="00111DD9"/>
    <w:rsid w:val="0011407F"/>
    <w:rsid w:val="00114F93"/>
    <w:rsid w:val="00116435"/>
    <w:rsid w:val="00116B8F"/>
    <w:rsid w:val="00122B83"/>
    <w:rsid w:val="00132BAE"/>
    <w:rsid w:val="0014468F"/>
    <w:rsid w:val="001468A6"/>
    <w:rsid w:val="00150C21"/>
    <w:rsid w:val="00150C9E"/>
    <w:rsid w:val="00152B5C"/>
    <w:rsid w:val="0015407B"/>
    <w:rsid w:val="00156F9D"/>
    <w:rsid w:val="00166A50"/>
    <w:rsid w:val="0017796D"/>
    <w:rsid w:val="00181FB3"/>
    <w:rsid w:val="00184586"/>
    <w:rsid w:val="00190679"/>
    <w:rsid w:val="0019077F"/>
    <w:rsid w:val="00191B57"/>
    <w:rsid w:val="0019439E"/>
    <w:rsid w:val="0019521F"/>
    <w:rsid w:val="001A2100"/>
    <w:rsid w:val="001B6676"/>
    <w:rsid w:val="001D0DF1"/>
    <w:rsid w:val="001E39C6"/>
    <w:rsid w:val="001E5E85"/>
    <w:rsid w:val="001E73EE"/>
    <w:rsid w:val="001F0710"/>
    <w:rsid w:val="001F1348"/>
    <w:rsid w:val="001F3870"/>
    <w:rsid w:val="001F6D74"/>
    <w:rsid w:val="0020334D"/>
    <w:rsid w:val="00205669"/>
    <w:rsid w:val="00207FE4"/>
    <w:rsid w:val="002152FD"/>
    <w:rsid w:val="002155AD"/>
    <w:rsid w:val="002240A0"/>
    <w:rsid w:val="00224F57"/>
    <w:rsid w:val="00244938"/>
    <w:rsid w:val="00246A6F"/>
    <w:rsid w:val="00255ECB"/>
    <w:rsid w:val="00257585"/>
    <w:rsid w:val="00260489"/>
    <w:rsid w:val="002644DE"/>
    <w:rsid w:val="002659E7"/>
    <w:rsid w:val="00274455"/>
    <w:rsid w:val="00276ADC"/>
    <w:rsid w:val="002773BC"/>
    <w:rsid w:val="00284712"/>
    <w:rsid w:val="00285C66"/>
    <w:rsid w:val="00292387"/>
    <w:rsid w:val="00294E5B"/>
    <w:rsid w:val="00296FBB"/>
    <w:rsid w:val="002A452D"/>
    <w:rsid w:val="002B505C"/>
    <w:rsid w:val="002C3403"/>
    <w:rsid w:val="002C7E73"/>
    <w:rsid w:val="002D70D2"/>
    <w:rsid w:val="002E27FD"/>
    <w:rsid w:val="002E45F9"/>
    <w:rsid w:val="002F2715"/>
    <w:rsid w:val="00306E2E"/>
    <w:rsid w:val="00307563"/>
    <w:rsid w:val="00310D60"/>
    <w:rsid w:val="003241CD"/>
    <w:rsid w:val="00326C4D"/>
    <w:rsid w:val="003361A8"/>
    <w:rsid w:val="003367B2"/>
    <w:rsid w:val="00350782"/>
    <w:rsid w:val="00355982"/>
    <w:rsid w:val="003560BA"/>
    <w:rsid w:val="00356A1A"/>
    <w:rsid w:val="0036129D"/>
    <w:rsid w:val="003829B1"/>
    <w:rsid w:val="00382D92"/>
    <w:rsid w:val="00384577"/>
    <w:rsid w:val="00384C0E"/>
    <w:rsid w:val="003858E2"/>
    <w:rsid w:val="00390845"/>
    <w:rsid w:val="003A314D"/>
    <w:rsid w:val="003A3E24"/>
    <w:rsid w:val="003A3F96"/>
    <w:rsid w:val="003A7124"/>
    <w:rsid w:val="003B22E0"/>
    <w:rsid w:val="003B5861"/>
    <w:rsid w:val="003B621F"/>
    <w:rsid w:val="003C1523"/>
    <w:rsid w:val="003C58A9"/>
    <w:rsid w:val="003D1F07"/>
    <w:rsid w:val="003D220D"/>
    <w:rsid w:val="003D7237"/>
    <w:rsid w:val="003E32D2"/>
    <w:rsid w:val="003F0858"/>
    <w:rsid w:val="003F5033"/>
    <w:rsid w:val="003F6E09"/>
    <w:rsid w:val="00411A0D"/>
    <w:rsid w:val="004267E6"/>
    <w:rsid w:val="00430604"/>
    <w:rsid w:val="004316CC"/>
    <w:rsid w:val="0043284F"/>
    <w:rsid w:val="004334A6"/>
    <w:rsid w:val="00436BA2"/>
    <w:rsid w:val="00441CF4"/>
    <w:rsid w:val="004538E2"/>
    <w:rsid w:val="00453FFE"/>
    <w:rsid w:val="0045630E"/>
    <w:rsid w:val="004640AE"/>
    <w:rsid w:val="004648D0"/>
    <w:rsid w:val="004676E7"/>
    <w:rsid w:val="00467A64"/>
    <w:rsid w:val="00470FF2"/>
    <w:rsid w:val="00471E0E"/>
    <w:rsid w:val="00475760"/>
    <w:rsid w:val="00484AA9"/>
    <w:rsid w:val="0048695A"/>
    <w:rsid w:val="00496A9E"/>
    <w:rsid w:val="00497DBF"/>
    <w:rsid w:val="004A5C3D"/>
    <w:rsid w:val="004A7448"/>
    <w:rsid w:val="004A799D"/>
    <w:rsid w:val="004B1067"/>
    <w:rsid w:val="004B7C25"/>
    <w:rsid w:val="004D06FB"/>
    <w:rsid w:val="004E1A01"/>
    <w:rsid w:val="004E2169"/>
    <w:rsid w:val="004E5FFF"/>
    <w:rsid w:val="004F3F52"/>
    <w:rsid w:val="005111A6"/>
    <w:rsid w:val="0052279D"/>
    <w:rsid w:val="005265A2"/>
    <w:rsid w:val="00527CA7"/>
    <w:rsid w:val="005339EC"/>
    <w:rsid w:val="00534E8B"/>
    <w:rsid w:val="005414AD"/>
    <w:rsid w:val="00544687"/>
    <w:rsid w:val="0054520A"/>
    <w:rsid w:val="005503B3"/>
    <w:rsid w:val="00553B34"/>
    <w:rsid w:val="00555F7C"/>
    <w:rsid w:val="00556057"/>
    <w:rsid w:val="005569A9"/>
    <w:rsid w:val="00560055"/>
    <w:rsid w:val="00563910"/>
    <w:rsid w:val="00564C09"/>
    <w:rsid w:val="00576A78"/>
    <w:rsid w:val="00580F1A"/>
    <w:rsid w:val="00592853"/>
    <w:rsid w:val="00596ED7"/>
    <w:rsid w:val="005A0226"/>
    <w:rsid w:val="005A56EF"/>
    <w:rsid w:val="005C23AA"/>
    <w:rsid w:val="005C28F5"/>
    <w:rsid w:val="005D037F"/>
    <w:rsid w:val="005D69F5"/>
    <w:rsid w:val="005E7B48"/>
    <w:rsid w:val="005F35FA"/>
    <w:rsid w:val="005F74F5"/>
    <w:rsid w:val="006152FC"/>
    <w:rsid w:val="00615ECC"/>
    <w:rsid w:val="006164C0"/>
    <w:rsid w:val="006236CB"/>
    <w:rsid w:val="00625BA0"/>
    <w:rsid w:val="00636B37"/>
    <w:rsid w:val="006440EF"/>
    <w:rsid w:val="00645CF9"/>
    <w:rsid w:val="0065112D"/>
    <w:rsid w:val="00660FA4"/>
    <w:rsid w:val="00670DE5"/>
    <w:rsid w:val="00675D99"/>
    <w:rsid w:val="00691535"/>
    <w:rsid w:val="006A0285"/>
    <w:rsid w:val="006A0E6B"/>
    <w:rsid w:val="006A1DC5"/>
    <w:rsid w:val="006A480C"/>
    <w:rsid w:val="006B2B64"/>
    <w:rsid w:val="006B48C5"/>
    <w:rsid w:val="006B4A90"/>
    <w:rsid w:val="006C1E08"/>
    <w:rsid w:val="006C66F4"/>
    <w:rsid w:val="006D2B12"/>
    <w:rsid w:val="006D567A"/>
    <w:rsid w:val="007045DD"/>
    <w:rsid w:val="007130AF"/>
    <w:rsid w:val="00720236"/>
    <w:rsid w:val="00723ECD"/>
    <w:rsid w:val="007310C6"/>
    <w:rsid w:val="0073601D"/>
    <w:rsid w:val="00737992"/>
    <w:rsid w:val="00741818"/>
    <w:rsid w:val="0074285F"/>
    <w:rsid w:val="007432C9"/>
    <w:rsid w:val="00750F74"/>
    <w:rsid w:val="007537CC"/>
    <w:rsid w:val="00764EED"/>
    <w:rsid w:val="0077012A"/>
    <w:rsid w:val="007713CF"/>
    <w:rsid w:val="00773EEC"/>
    <w:rsid w:val="00777707"/>
    <w:rsid w:val="00787C8E"/>
    <w:rsid w:val="007905B3"/>
    <w:rsid w:val="00795738"/>
    <w:rsid w:val="007B113A"/>
    <w:rsid w:val="007B45B9"/>
    <w:rsid w:val="007B53EA"/>
    <w:rsid w:val="007C1442"/>
    <w:rsid w:val="007C51AB"/>
    <w:rsid w:val="007D0595"/>
    <w:rsid w:val="007D096F"/>
    <w:rsid w:val="007E4D95"/>
    <w:rsid w:val="007F4F90"/>
    <w:rsid w:val="007F4FC5"/>
    <w:rsid w:val="00800618"/>
    <w:rsid w:val="0081500E"/>
    <w:rsid w:val="008167A2"/>
    <w:rsid w:val="00817217"/>
    <w:rsid w:val="00817BF2"/>
    <w:rsid w:val="00830F72"/>
    <w:rsid w:val="008368FE"/>
    <w:rsid w:val="00842768"/>
    <w:rsid w:val="00842BFB"/>
    <w:rsid w:val="00843951"/>
    <w:rsid w:val="00844FFB"/>
    <w:rsid w:val="00845BEE"/>
    <w:rsid w:val="00846741"/>
    <w:rsid w:val="00850DA2"/>
    <w:rsid w:val="0085207F"/>
    <w:rsid w:val="00854922"/>
    <w:rsid w:val="00856055"/>
    <w:rsid w:val="00856BA1"/>
    <w:rsid w:val="00864DBD"/>
    <w:rsid w:val="0087552C"/>
    <w:rsid w:val="008755AA"/>
    <w:rsid w:val="0087683D"/>
    <w:rsid w:val="00876CCE"/>
    <w:rsid w:val="0087724D"/>
    <w:rsid w:val="00883527"/>
    <w:rsid w:val="008932FF"/>
    <w:rsid w:val="00896439"/>
    <w:rsid w:val="00897082"/>
    <w:rsid w:val="008976FE"/>
    <w:rsid w:val="008A0AE9"/>
    <w:rsid w:val="008A1852"/>
    <w:rsid w:val="008A7804"/>
    <w:rsid w:val="008B27D0"/>
    <w:rsid w:val="008B7A97"/>
    <w:rsid w:val="008C46B7"/>
    <w:rsid w:val="008D5179"/>
    <w:rsid w:val="008E09C1"/>
    <w:rsid w:val="008E1C11"/>
    <w:rsid w:val="009014A8"/>
    <w:rsid w:val="009026A2"/>
    <w:rsid w:val="009165AA"/>
    <w:rsid w:val="009220FD"/>
    <w:rsid w:val="009248D9"/>
    <w:rsid w:val="00924DA7"/>
    <w:rsid w:val="009452EF"/>
    <w:rsid w:val="00945EE6"/>
    <w:rsid w:val="009469FC"/>
    <w:rsid w:val="0095160A"/>
    <w:rsid w:val="0095284A"/>
    <w:rsid w:val="00955EB8"/>
    <w:rsid w:val="009603E9"/>
    <w:rsid w:val="00974DA7"/>
    <w:rsid w:val="00987592"/>
    <w:rsid w:val="00994100"/>
    <w:rsid w:val="0099658A"/>
    <w:rsid w:val="009A0BC7"/>
    <w:rsid w:val="009A2DB5"/>
    <w:rsid w:val="009A6919"/>
    <w:rsid w:val="009A70F1"/>
    <w:rsid w:val="009A79E7"/>
    <w:rsid w:val="009A7C55"/>
    <w:rsid w:val="009B2A93"/>
    <w:rsid w:val="009B5253"/>
    <w:rsid w:val="009B6365"/>
    <w:rsid w:val="009B68A2"/>
    <w:rsid w:val="009B72A2"/>
    <w:rsid w:val="009C0021"/>
    <w:rsid w:val="009D35C1"/>
    <w:rsid w:val="009D55FE"/>
    <w:rsid w:val="009E1A90"/>
    <w:rsid w:val="009E5FC8"/>
    <w:rsid w:val="009F0555"/>
    <w:rsid w:val="009F3267"/>
    <w:rsid w:val="009F3903"/>
    <w:rsid w:val="009F4F75"/>
    <w:rsid w:val="00A101A8"/>
    <w:rsid w:val="00A12EE3"/>
    <w:rsid w:val="00A16B7E"/>
    <w:rsid w:val="00A22420"/>
    <w:rsid w:val="00A322B2"/>
    <w:rsid w:val="00A36726"/>
    <w:rsid w:val="00A4064C"/>
    <w:rsid w:val="00A50898"/>
    <w:rsid w:val="00A56D41"/>
    <w:rsid w:val="00A608DD"/>
    <w:rsid w:val="00A65612"/>
    <w:rsid w:val="00A67589"/>
    <w:rsid w:val="00A7036D"/>
    <w:rsid w:val="00A725DC"/>
    <w:rsid w:val="00A7317A"/>
    <w:rsid w:val="00A75566"/>
    <w:rsid w:val="00A767BD"/>
    <w:rsid w:val="00A8364E"/>
    <w:rsid w:val="00A86F1C"/>
    <w:rsid w:val="00A9671A"/>
    <w:rsid w:val="00AA6971"/>
    <w:rsid w:val="00AB5B87"/>
    <w:rsid w:val="00AC5690"/>
    <w:rsid w:val="00AC5E3F"/>
    <w:rsid w:val="00AD2AAE"/>
    <w:rsid w:val="00AD2F9C"/>
    <w:rsid w:val="00AD6D78"/>
    <w:rsid w:val="00AD7DD9"/>
    <w:rsid w:val="00AE14B1"/>
    <w:rsid w:val="00AE7FCE"/>
    <w:rsid w:val="00AF49EB"/>
    <w:rsid w:val="00AF64A9"/>
    <w:rsid w:val="00AF73FE"/>
    <w:rsid w:val="00B049E4"/>
    <w:rsid w:val="00B05A7B"/>
    <w:rsid w:val="00B11932"/>
    <w:rsid w:val="00B12966"/>
    <w:rsid w:val="00B200FD"/>
    <w:rsid w:val="00B27CBB"/>
    <w:rsid w:val="00B320BE"/>
    <w:rsid w:val="00B37225"/>
    <w:rsid w:val="00B37AF9"/>
    <w:rsid w:val="00B64A37"/>
    <w:rsid w:val="00B65EF1"/>
    <w:rsid w:val="00B708D7"/>
    <w:rsid w:val="00B712A3"/>
    <w:rsid w:val="00B741C4"/>
    <w:rsid w:val="00B82436"/>
    <w:rsid w:val="00B83626"/>
    <w:rsid w:val="00B86ABA"/>
    <w:rsid w:val="00B874AF"/>
    <w:rsid w:val="00B93E5D"/>
    <w:rsid w:val="00BA4339"/>
    <w:rsid w:val="00BA647E"/>
    <w:rsid w:val="00BB14E7"/>
    <w:rsid w:val="00BB1F42"/>
    <w:rsid w:val="00BB5562"/>
    <w:rsid w:val="00BC49A6"/>
    <w:rsid w:val="00BC7221"/>
    <w:rsid w:val="00BC7F0E"/>
    <w:rsid w:val="00BD2F29"/>
    <w:rsid w:val="00BE1143"/>
    <w:rsid w:val="00BF6012"/>
    <w:rsid w:val="00BF66CC"/>
    <w:rsid w:val="00BF6A49"/>
    <w:rsid w:val="00BF7BC7"/>
    <w:rsid w:val="00C06283"/>
    <w:rsid w:val="00C078F3"/>
    <w:rsid w:val="00C16E8D"/>
    <w:rsid w:val="00C17042"/>
    <w:rsid w:val="00C20E22"/>
    <w:rsid w:val="00C235BA"/>
    <w:rsid w:val="00C271D7"/>
    <w:rsid w:val="00C34B4B"/>
    <w:rsid w:val="00C50604"/>
    <w:rsid w:val="00C64D39"/>
    <w:rsid w:val="00C70674"/>
    <w:rsid w:val="00C74D0A"/>
    <w:rsid w:val="00C806DB"/>
    <w:rsid w:val="00C82901"/>
    <w:rsid w:val="00C8503D"/>
    <w:rsid w:val="00C87551"/>
    <w:rsid w:val="00C95B88"/>
    <w:rsid w:val="00CA25B1"/>
    <w:rsid w:val="00CA4041"/>
    <w:rsid w:val="00CA4496"/>
    <w:rsid w:val="00CB3A25"/>
    <w:rsid w:val="00CC6221"/>
    <w:rsid w:val="00CD30C6"/>
    <w:rsid w:val="00CE3DFC"/>
    <w:rsid w:val="00D01642"/>
    <w:rsid w:val="00D04CA2"/>
    <w:rsid w:val="00D11FF7"/>
    <w:rsid w:val="00D13A1C"/>
    <w:rsid w:val="00D16B56"/>
    <w:rsid w:val="00D3216C"/>
    <w:rsid w:val="00D3647A"/>
    <w:rsid w:val="00D427C7"/>
    <w:rsid w:val="00D443AA"/>
    <w:rsid w:val="00D547DC"/>
    <w:rsid w:val="00D67DBA"/>
    <w:rsid w:val="00D752DB"/>
    <w:rsid w:val="00D75AC8"/>
    <w:rsid w:val="00D76EFA"/>
    <w:rsid w:val="00D80FC0"/>
    <w:rsid w:val="00D81FF5"/>
    <w:rsid w:val="00D85A2D"/>
    <w:rsid w:val="00D90F81"/>
    <w:rsid w:val="00D94EF4"/>
    <w:rsid w:val="00D97799"/>
    <w:rsid w:val="00D97DA2"/>
    <w:rsid w:val="00DA00E5"/>
    <w:rsid w:val="00DA41C2"/>
    <w:rsid w:val="00DC37E1"/>
    <w:rsid w:val="00DC4131"/>
    <w:rsid w:val="00DC4BD7"/>
    <w:rsid w:val="00DC6681"/>
    <w:rsid w:val="00DC67BD"/>
    <w:rsid w:val="00DD0A42"/>
    <w:rsid w:val="00DD5FD3"/>
    <w:rsid w:val="00DD6CBE"/>
    <w:rsid w:val="00DE3CC9"/>
    <w:rsid w:val="00DF0A2E"/>
    <w:rsid w:val="00E0371F"/>
    <w:rsid w:val="00E06D2A"/>
    <w:rsid w:val="00E1553B"/>
    <w:rsid w:val="00E22F07"/>
    <w:rsid w:val="00E23A20"/>
    <w:rsid w:val="00E23E7B"/>
    <w:rsid w:val="00E25EFF"/>
    <w:rsid w:val="00E266A1"/>
    <w:rsid w:val="00E3148D"/>
    <w:rsid w:val="00E37DB9"/>
    <w:rsid w:val="00E421BF"/>
    <w:rsid w:val="00E471D7"/>
    <w:rsid w:val="00E472D0"/>
    <w:rsid w:val="00E56FD6"/>
    <w:rsid w:val="00E62C8A"/>
    <w:rsid w:val="00E65150"/>
    <w:rsid w:val="00E655E3"/>
    <w:rsid w:val="00E708EB"/>
    <w:rsid w:val="00E7246C"/>
    <w:rsid w:val="00E74D6E"/>
    <w:rsid w:val="00E85C61"/>
    <w:rsid w:val="00E97259"/>
    <w:rsid w:val="00EA3AB3"/>
    <w:rsid w:val="00EA6152"/>
    <w:rsid w:val="00EA69EA"/>
    <w:rsid w:val="00EC3CFC"/>
    <w:rsid w:val="00EC7DC2"/>
    <w:rsid w:val="00ED61DA"/>
    <w:rsid w:val="00ED70DE"/>
    <w:rsid w:val="00EE01A5"/>
    <w:rsid w:val="00EE0348"/>
    <w:rsid w:val="00EE2006"/>
    <w:rsid w:val="00EF1CF3"/>
    <w:rsid w:val="00EF3CDA"/>
    <w:rsid w:val="00F01DD5"/>
    <w:rsid w:val="00F029A2"/>
    <w:rsid w:val="00F04400"/>
    <w:rsid w:val="00F049B6"/>
    <w:rsid w:val="00F11025"/>
    <w:rsid w:val="00F1189B"/>
    <w:rsid w:val="00F121C1"/>
    <w:rsid w:val="00F12C61"/>
    <w:rsid w:val="00F14C58"/>
    <w:rsid w:val="00F213B8"/>
    <w:rsid w:val="00F22D98"/>
    <w:rsid w:val="00F22EBC"/>
    <w:rsid w:val="00F253E8"/>
    <w:rsid w:val="00F27A93"/>
    <w:rsid w:val="00F33C59"/>
    <w:rsid w:val="00F365AC"/>
    <w:rsid w:val="00F36888"/>
    <w:rsid w:val="00F476CA"/>
    <w:rsid w:val="00F50E0F"/>
    <w:rsid w:val="00F5647D"/>
    <w:rsid w:val="00F62C52"/>
    <w:rsid w:val="00F65367"/>
    <w:rsid w:val="00F65DF5"/>
    <w:rsid w:val="00F75051"/>
    <w:rsid w:val="00F7652E"/>
    <w:rsid w:val="00F823C9"/>
    <w:rsid w:val="00F95522"/>
    <w:rsid w:val="00FB0DFF"/>
    <w:rsid w:val="00FB26C3"/>
    <w:rsid w:val="00FB3A22"/>
    <w:rsid w:val="00FC2D2F"/>
    <w:rsid w:val="00FC4C17"/>
    <w:rsid w:val="00FC54C3"/>
    <w:rsid w:val="00FD0799"/>
    <w:rsid w:val="00FD1992"/>
    <w:rsid w:val="00FE2456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FEE6-3B97-49A3-8653-6A70C04C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7045DD"/>
    <w:pPr>
      <w:keepNext/>
      <w:outlineLvl w:val="2"/>
    </w:pPr>
    <w:rPr>
      <w:b/>
      <w:bCs/>
      <w:noProof w:val="0"/>
      <w:sz w:val="22"/>
      <w:szCs w:val="22"/>
      <w:lang w:val="x-none" w:eastAsia="x-none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uiPriority w:val="99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7045D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7045DD"/>
    <w:rPr>
      <w:rFonts w:ascii="Arial" w:eastAsia="SimSun" w:hAnsi="Arial"/>
      <w:b/>
      <w:noProof/>
      <w:sz w:val="28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A3E24"/>
    <w:pPr>
      <w:ind w:left="708"/>
    </w:pPr>
  </w:style>
  <w:style w:type="paragraph" w:styleId="Dzeltme">
    <w:name w:val="Revision"/>
    <w:hidden/>
    <w:uiPriority w:val="99"/>
    <w:semiHidden/>
    <w:rsid w:val="00205669"/>
    <w:rPr>
      <w:rFonts w:ascii="Arial" w:hAnsi="Arial"/>
      <w:noProof/>
    </w:rPr>
  </w:style>
  <w:style w:type="character" w:customStyle="1" w:styleId="stBilgiChar">
    <w:name w:val="Üst Bilgi Char"/>
    <w:basedOn w:val="VarsaylanParagrafYazTipi"/>
    <w:link w:val="stBilgi"/>
    <w:uiPriority w:val="99"/>
    <w:rsid w:val="004316CC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TS_12395_tst_T2_Standard_Tasari_Icerik_(DOC)_201817.docx</FileName>
    <SecurityToken xmlns="311808c2-3f59-4ae3-a703-d96772a2eca4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5322-DD33-4977-90D0-DA4219E82C59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AC164DAD-4FD0-41B6-8342-AF348B720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4C3B6-1002-427D-95CD-80C81DD77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33E72-1FFB-4C79-8AFB-8EF5B54E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tse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ayinilmez</dc:creator>
  <cp:keywords/>
  <cp:lastModifiedBy>AnaPc</cp:lastModifiedBy>
  <cp:revision>2</cp:revision>
  <cp:lastPrinted>2014-07-26T08:54:00Z</cp:lastPrinted>
  <dcterms:created xsi:type="dcterms:W3CDTF">2021-04-12T07:40:00Z</dcterms:created>
  <dcterms:modified xsi:type="dcterms:W3CDTF">2021-04-12T07:40:00Z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1877651230</vt:i4>
  </property>
  <property fmtid="{D5CDD505-2E9C-101B-9397-08002B2CF9AE}" pid="3" name="_EmailSubject">
    <vt:lpwstr>TS_1466_tst_T1_73785.doc</vt:lpwstr>
  </property>
  <property fmtid="{D5CDD505-2E9C-101B-9397-08002B2CF9AE}" pid="4" name="_AuthorEmail">
    <vt:lpwstr>ziraat.hg@tse.org.tr</vt:lpwstr>
  </property>
  <property fmtid="{D5CDD505-2E9C-101B-9397-08002B2CF9AE}" pid="5" name="_AuthorEmailDisplayName">
    <vt:lpwstr>TSE-Ziraat İhtisas Grubu</vt:lpwstr>
  </property>
  <property fmtid="{D5CDD505-2E9C-101B-9397-08002B2CF9AE}" pid="6" name="_ReviewingToolsShownOnce">
    <vt:lpwstr/>
  </property>
  <property fmtid="{D5CDD505-2E9C-101B-9397-08002B2CF9AE}" pid="7" name="ContentTypeId">
    <vt:lpwstr>0x0101005B34AD4A5F9D234EA4D8AD463B39FB32</vt:lpwstr>
  </property>
</Properties>
</file>